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80"/>
        <w:jc w:val="center"/>
      </w:pPr>
      <w:r>
        <w:rPr>
          <w:rFonts w:ascii="Georgia" w:hAnsi="Georgia"/>
          <w:b w:val="0"/>
          <w:i w:val="0"/>
          <w:color w:val="1B2A47"/>
          <w:sz w:val="33"/>
        </w:rPr>
        <w:t>REDWOOD SUMMIT CONSTRUCTION, INC.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3"/>
        </w:rPr>
        <w:t>FINANCIAL STATEMENTS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0"/>
        </w:rPr>
        <w:t>Years Ended December 31, 2025 and 2024</w:t>
      </w:r>
    </w:p>
    <w:p>
      <w:pPr>
        <w:spacing w:before="280"/>
        <w:jc w:val="center"/>
      </w:pPr>
      <w:r>
        <w:rPr>
          <w:rFonts w:ascii="Georgia" w:hAnsi="Georgia"/>
          <w:b w:val="0"/>
          <w:i w:val="0"/>
          <w:color w:val="5B6472"/>
          <w:sz w:val="16"/>
        </w:rPr>
        <w:t>Company-prepared · Not audited, reviewed, or compiled by an independent accountant</w:t>
      </w:r>
    </w:p>
    <w:p/>
    <w:p/>
    <w:p/>
    <w:p/>
    <w:p/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Prepared by management · Issued February 19, 2026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4180 Duckhorn Drive, Suite 210, Sacramento, CA 95834</w:t>
      </w:r>
    </w:p>
    <w:p/>
    <w:p/>
    <w:p/>
    <w:p/>
    <w:p/>
    <w:p/>
    <w:p>
      <w:pPr>
        <w:jc w:val="center"/>
      </w:pPr>
      <w:r>
        <w:rPr>
          <w:rFonts w:ascii="Georgia" w:hAnsi="Georgia"/>
          <w:b w:val="0"/>
          <w:i w:val="0"/>
          <w:color w:val="5B6472"/>
          <w:sz w:val="14"/>
        </w:rPr>
        <w:t>Contents: Balance Sheets (2) · Statements of Operations (3) · Statement of Cash Flows (4)</w:t>
        <w:br/>
        <w:t>Notes to Financial Statements (5–7) · Supplementary Schedules I–II (8–9)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REDWOOD SUMMIT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BALANCE SHEETS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and cash equivalents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830,000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1,210,000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receivables, net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6,420,000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4,850,000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2,310,000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970,200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 inventory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1,940,000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610,000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Prepaid expenses and other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308,800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187,200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11,808,800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7,827,400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Property and equipment, net of accumulated depreciation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2,972,200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2,636,400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Deposits and other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14,921,000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10,603,800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1,850,000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Current portion of long-term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403,200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Accounts payable — trade and 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3,278,450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2,840,500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540,400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889,200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Accrued payroll and other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358,979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967,200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6,431,029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5,431,900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Long-term debt, less current portion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2,116,800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1,615,000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8,547,829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7,046,900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6,373,171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3,556,900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14,921,000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10,603,800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Memo: total interest-bearing debt — 2025: $4,370,000  ·  2024: $2,350,000  (+86%)</w:t>
        <w:br/>
        <w:t>See notes to financial statements.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REDWOOD SUMMIT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STATEMENTS OF OPERATIONS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revenues earned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38,600,000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31,200,000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14,197,750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10,953,750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Direct labor and burden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8,910,000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9,840,000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9,110,500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7,101,250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and other job costs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1,031,750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855,000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cost of contract revenues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33,250,000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28,750,000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profit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5,350,000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2,450,000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Officer's compensation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415,200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402,896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 salaries and benefits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605,500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588,848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Other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709,300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557,856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1,730,000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1,549,600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from operations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3,620,000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900,400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(340,000)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(190,400)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before state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3,280,000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710,000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(50,000)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(10,000)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3,230,000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700,000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Cost of revenues and G&amp;A include depreciation and amortization of $780,000 (2025) and $709,800 (2024).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REDWOOD SUMMIT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 OF CASH FLOWS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 Ended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3,230,000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780,000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contract receivables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(1,570,000)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costs in excess of billings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(1,339,800)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materials inventory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(1,330,000)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prepaid expenses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(121,600)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Increase (decrease) in accounts payable and other working capital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(508,600)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PROVIDED BY (USED IN)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(860,000)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Purchases of property and equipment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(1,119,400)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USED IN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(1,119,400)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draws on revolving line of credit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Proceeds from equipment notes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Repayments of long-term debt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(280,600)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(420,000)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CASH PROVIDED BY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1,599,400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increase (decrease) in cash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(380,000)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at beginning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1,210,000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AT END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830,000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Supplemental disclosure: cash paid for interest, $340,000. Growth in receivables, unbilled costs, and inventory was financed through operating cash flow and available credit as shown above.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REDWOOD SUMMIT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1 — ORGANIZATION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Redwood Summit Construction, Inc. (the “Company”) is a California S corporation operating as a commercial general contractor serving developers, institutions, and public agencies throughout California. The Company self-performs selected field activities and subcontracts the balance of trades.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2 — SIGNIFICANT ACCOUNTING POLICIES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Revenue recognition. Revenues from fixed-price construction contracts are recognized on the percentage-of-completion method, measured by the ratio of costs incurred to management's current estimates of total contract costs.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revenue includes amounts attributable to change orders when management believes recovery is probable and the amount can be reliably estimated. Revisions to cost-to-complete estimates are recognized in the period identified.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balances. Costs and estimated earnings in excess of billings represent revenue recognized ahead of amounts billable under contract terms; billings in excess of costs represent the reverse.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Use of estimates. Percentage-of-completion accounting depends on estimates of costs to complete; actual results could differ materially from those estimates in the near term.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Income taxes. The Company is an S corporation; taxable income passes to its shareholders. The Company pays California franchise tax on net income. Book income differs from taxable income principally due to long-term contract method differences.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REDWOOD SUMMIT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3 — CONTRACTS IN PROGRESS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2,310,000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970,200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540,400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889,200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Costs in excess of billings at December 31, 2025 include approximately $1,100,000 of costs and estimated earnings on change orders that have been submitted to owners but not yet approved. Management believes recovery is probable.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Project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Underbilled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Civic Center Program — Phase II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1,455,300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Industrial Retrofit Package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531,300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jobs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323,400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2,310,000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increase in underbillings to $2,310,000 reflects work performed ahead of billing milestones on active projects.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4 — CONCENTRATIONS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A significant portion of contract receivables and current-year revenues may derive from a single customer. Management monitors payment performance, contractual offsets, retainage, and legal rights by project.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REDWOOD SUMMIT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5 — LINE OF CREDIT AND LONG-TERM DEBT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— regional bank ($2,000,000 limit, Prime + 0.75%)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1,850,000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A — excavator and loader package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1,083,600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1,121,000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B — fleet additions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1,008,000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C — forming and shoring systems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428,400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399,000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4,370,000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2,350,000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Less: revolving line of credit and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(2,253,200)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(735,000)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Long-term debt, net of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2,116,800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1,615,000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revolving line of credit provides for borrowings up to $2,000,000 at Prime + 0.75%, secured by a blanket lien on business assets and the personal guaranty of the principal. Outstanding borrowings were $1,850,000 (92% of commitment) at December 31, 2025.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REDWOOD SUMMIT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 — CONTRACT RECEIVABLES BY CUSTOMER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Aging as of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1246"/>
        <w:gridCol w:w="1246"/>
        <w:gridCol w:w="1246"/>
        <w:gridCol w:w="1246"/>
        <w:gridCol w:w="1244"/>
      </w:tblGrid>
      <w:tr>
        <w:trPr>
          <w:tblHeader w:val="true"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Customer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Current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31–60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61–90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Over 90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Halcyon Development Partners LLC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1,622,500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708,000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383,500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236,000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2,950,000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Marlowe Property Group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517,966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210,698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114,128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35,118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877,910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Iron Horse Logistics Centers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417,649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169,891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92,024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28,316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707,880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Vantage Point Properties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317,331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129,084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69,920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21,515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537,850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Bayline Cold Storage Co.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247,723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100,768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54,583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16,796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419,870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(11 accounts)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546,629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222,357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120,443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37,061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926,490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3,669,798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1,540,798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834,598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374,806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6,420,000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6"/>
        </w:rPr>
        <w:t>Retainage is included above within contractual terms and is not past due. The largest customer, Halcyon Development Partners LLC, represents 46.0% of total contract receivables at December 31, 2025 (2024: largest customer 18%).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REDWOOD SUMMIT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II — SELECTED FINANCIAL DATA (UNAUDITED)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EBITDA reconciliation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3,230,000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190,400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709,600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EBITDA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4,400,000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1,610,000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Selected ratios and data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Revenue growth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+23.7%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—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13.9%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7.9%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EBITDA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11.4%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5.2%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4,370,000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2,350,000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Line utilization at year end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92%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Average full-time employees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420,000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378,000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This schedule is presented for supplementary analysis purposes and is derived from the accompanying financial statements.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Redwood Summit Construction, Inc. — Financial Statements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Georgia" w:hAnsi="Georgia"/>
      <w:color w:val="1B2A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Financial Statements</dc:title>
  <dc:subject>Sigma parser fixture: 01_decline_as_presented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