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1F3864" w:sz="4"/>
          <w:left w:val="nil"/>
          <w:bottom w:val="single" w:color="1F3864" w:sz="4"/>
          <w:right w:val="nil"/>
          <w:insideH w:val="nil"/>
          <w:insideV w:val="nil"/>
        </w:tblBorders>
      </w:tblPr>
      <w:tblGrid>
        <w:gridCol w:w="5350"/>
        <w:gridCol w:w="4000"/>
      </w:tblGrid>
      <w:tr>
        <w:tc>
          <w:tcPr>
            <w:tcW w:type="dxa" w:w="5350"/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GOLDEN STATE COMMERCE BANK, N.A.</w:t>
            </w:r>
          </w:p>
          <w:p>
            <w:r>
              <w:rPr>
                <w:color w:val="D9E2F0"/>
                <w:sz w:val="16"/>
                <w:szCs w:val="16"/>
              </w:rPr>
              <w:t xml:space="preserve">INTERNAL — CONFIDENTIAL · ANNUAL CREDIT REVIEW FY2023</w:t>
            </w:r>
          </w:p>
        </w:tc>
        <w:tc>
          <w:tcPr>
            <w:tcW w:type="dxa" w:w="4000"/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CREDIT ADMINISTRATION</w:t>
            </w:r>
          </w:p>
          <w:p>
            <w:pPr>
              <w:jc w:val="right"/>
            </w:pPr>
            <w:r>
              <w:rPr>
                <w:color w:val="D9E2F0"/>
                <w:sz w:val="16"/>
                <w:szCs w:val="16"/>
              </w:rPr>
              <w:t xml:space="preserve">Memo date: March 15, 2024</w:t>
            </w:r>
          </w:p>
          <w:p/>
        </w:tc>
      </w:tr>
    </w:tbl>
    <w:p>
      <w:pPr>
        <w:spacing w:after="200" w:before="200"/>
      </w:pPr>
    </w:p>
    <w:tbl>
      <w:tblPr>
        <w:tblW w:type="dxa" w:w="935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DDDDDD" w:sz="2"/>
          <w:insideV w:val="single" w:color="DDDDDD" w:sz="2"/>
        </w:tblBorders>
      </w:tblPr>
      <w:tblGrid>
        <w:gridCol w:w="2200"/>
        <w:gridCol w:w="7150"/>
      </w:tblGrid>
      <w:tr>
        <w:tc>
          <w:tcPr>
            <w:tcW w:type="dxa" w:w="2200"/>
            <w:shd w:fill="EDF1F7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BORROWER</w:t>
            </w:r>
          </w:p>
        </w:tc>
        <w:tc>
          <w:tcPr>
            <w:tcW w:type="dxa" w:w="7150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Redwood Summit Construction, Inc.</w:t>
            </w:r>
          </w:p>
        </w:tc>
      </w:tr>
      <w:tr>
        <w:tc>
          <w:tcPr>
            <w:tcW w:type="dxa" w:w="2200"/>
            <w:shd w:fill="EDF1F7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FACILITIES</w:t>
            </w:r>
          </w:p>
        </w:tc>
        <w:tc>
          <w:tcPr>
            <w:tcW w:type="dxa" w:w="7150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$2.0M revolving LOC (Prime + 0.75%) · equipment term notes $1.9M</w:t>
            </w:r>
          </w:p>
        </w:tc>
      </w:tr>
      <w:tr>
        <w:tc>
          <w:tcPr>
            <w:tcW w:type="dxa" w:w="2200"/>
            <w:shd w:fill="EDF1F7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RISK RATING</w:t>
            </w:r>
          </w:p>
        </w:tc>
        <w:tc>
          <w:tcPr>
            <w:tcW w:type="dxa" w:w="7150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4 – Satisfactory (unchanged)</w:t>
            </w:r>
          </w:p>
        </w:tc>
      </w:tr>
      <w:tr>
        <w:tc>
          <w:tcPr>
            <w:tcW w:type="dxa" w:w="2200"/>
            <w:shd w:fill="EDF1F7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GUARANTY</w:t>
            </w:r>
          </w:p>
        </w:tc>
        <w:tc>
          <w:tcPr>
            <w:tcW w:type="dxa" w:w="7150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Marcus J. Reyes – President and 100% guarantor</w:t>
            </w:r>
          </w:p>
        </w:tc>
      </w:tr>
      <w:tr>
        <w:tc>
          <w:tcPr>
            <w:tcW w:type="dxa" w:w="2200"/>
            <w:shd w:fill="EDF1F7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ACTION</w:t>
            </w:r>
          </w:p>
        </w:tc>
        <w:tc>
          <w:tcPr>
            <w:tcW w:type="dxa" w:w="7150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Approve annual renewal of $2.0M revolving line of credit</w:t>
            </w:r>
          </w:p>
        </w:tc>
      </w:tr>
      <w:tr>
        <w:tc>
          <w:tcPr>
            <w:tcW w:type="dxa" w:w="2200"/>
            <w:shd w:fill="EDF1F7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1F3864"/>
                <w:sz w:val="18"/>
                <w:szCs w:val="18"/>
              </w:rPr>
              <w:t xml:space="preserve">ANALYST / APPROVER</w:t>
            </w:r>
          </w:p>
        </w:tc>
        <w:tc>
          <w:tcPr>
            <w:tcW w:type="dxa" w:w="7150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A. Chen, Credit Analyst · R. Delgado, SVP Senior Credit Officer</w:t>
            </w:r>
          </w:p>
        </w:tc>
      </w:tr>
    </w:tbl>
    <w:p>
      <w:pPr>
        <w:pStyle w:val="Heading1"/>
        <w:spacing w:after="110" w:before="220"/>
      </w:pPr>
      <w:r>
        <w:rPr>
          <w:b/>
          <w:bCs/>
          <w:color w:val="1F3864"/>
          <w:sz w:val="24"/>
          <w:szCs w:val="24"/>
        </w:rPr>
        <w:t xml:space="preserve">1. RELATIONSHIP OVERVIEW</w:t>
      </w:r>
    </w:p>
    <w:p>
      <w:pPr>
        <w:spacing w:after="110"/>
      </w:pPr>
      <w:r>
        <w:rPr>
          <w:sz w:val="20"/>
          <w:szCs w:val="20"/>
        </w:rPr>
        <w:t xml:space="preserve">Redwood Summit Construction, Inc. is a California commercial contractor and a Bank client since 2019. FY2023 revenue was $27.6M and net income $0.59M, up from $24.9M and $0.44M in FY2022. The operating account and payroll relationship remain at the Bank; average collected balances approximated $560M-thousand. Line usage was orderly with a clean 30-day annual rest achieved during the review period.</w:t>
      </w:r>
    </w:p>
    <w:p>
      <w:pPr>
        <w:pStyle w:val="Heading1"/>
        <w:spacing w:after="110" w:before="220"/>
      </w:pPr>
      <w:r>
        <w:rPr>
          <w:b/>
          <w:bCs/>
          <w:color w:val="1F3864"/>
          <w:sz w:val="24"/>
          <w:szCs w:val="24"/>
        </w:rPr>
        <w:t xml:space="preserve">2. MANAGEMENT</w:t>
      </w:r>
    </w:p>
    <w:p>
      <w:pPr>
        <w:spacing w:after="110"/>
      </w:pPr>
      <w:r>
        <w:rPr>
          <w:sz w:val="20"/>
          <w:szCs w:val="20"/>
        </w:rPr>
        <w:t xml:space="preserve">Marcus J. Reyes, President and controlling shareholder, leads the Company. Management is regarded as capable, with estimating discipline noted as an area to monitor given continued margin pressure on fixed-price contracts.</w:t>
      </w:r>
    </w:p>
    <w:p>
      <w:r>
        <w:br w:type="page"/>
      </w:r>
    </w:p>
    <w:tbl>
      <w:tblPr>
        <w:tblW w:type="dxa" w:w="9350"/>
        <w:tblBorders>
          <w:top w:val="single" w:color="1F3864" w:sz="4"/>
          <w:left w:val="nil"/>
          <w:bottom w:val="single" w:color="1F3864" w:sz="4"/>
          <w:right w:val="nil"/>
          <w:insideH w:val="nil"/>
          <w:insideV w:val="nil"/>
        </w:tblBorders>
      </w:tblPr>
      <w:tblGrid>
        <w:gridCol w:w="5350"/>
        <w:gridCol w:w="4000"/>
      </w:tblGrid>
      <w:tr>
        <w:tc>
          <w:tcPr>
            <w:tcW w:type="dxa" w:w="5350"/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GOLDEN STATE COMMERCE BANK, N.A.</w:t>
            </w:r>
          </w:p>
          <w:p>
            <w:r>
              <w:rPr>
                <w:color w:val="D9E2F0"/>
                <w:sz w:val="16"/>
                <w:szCs w:val="16"/>
              </w:rPr>
              <w:t xml:space="preserve">INTERNAL — CONFIDENTIAL · ANNUAL CREDIT REVIEW FY2023</w:t>
            </w:r>
          </w:p>
        </w:tc>
        <w:tc>
          <w:tcPr>
            <w:tcW w:type="dxa" w:w="4000"/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CREDIT ADMINISTRATION</w:t>
            </w:r>
          </w:p>
          <w:p>
            <w:pPr>
              <w:jc w:val="right"/>
            </w:pPr>
            <w:r>
              <w:rPr>
                <w:color w:val="D9E2F0"/>
                <w:sz w:val="16"/>
                <w:szCs w:val="16"/>
              </w:rPr>
              <w:t xml:space="preserve">Page 2 — Financial summary</w:t>
            </w:r>
          </w:p>
          <w:p/>
        </w:tc>
      </w:tr>
    </w:tbl>
    <w:p>
      <w:pPr>
        <w:spacing w:after="200" w:before="200"/>
      </w:pPr>
    </w:p>
    <w:p>
      <w:pPr>
        <w:pStyle w:val="Heading1"/>
        <w:spacing w:after="110" w:before="220"/>
      </w:pPr>
      <w:r>
        <w:rPr>
          <w:b/>
          <w:bCs/>
          <w:color w:val="1F3864"/>
          <w:sz w:val="24"/>
          <w:szCs w:val="24"/>
        </w:rPr>
        <w:t xml:space="preserve">3. FINANCIAL SUMMARY — FYE 12/31/2023 (company-prepared)</w:t>
      </w:r>
    </w:p>
    <w:tbl>
      <w:tblPr>
        <w:tblW w:type="dxa" w:w="935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DDDDDD" w:sz="2"/>
          <w:insideV w:val="single" w:color="DDDDDD" w:sz="2"/>
        </w:tblBorders>
      </w:tblPr>
      <w:tblGrid>
        <w:gridCol w:w="5350"/>
        <w:gridCol w:w="4000"/>
      </w:tblGrid>
      <w:tr>
        <w:tc>
          <w:tcPr>
            <w:tcW w:type="dxa" w:w="5350"/>
            <w:shd w:fill="EDF1F7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Revenue</w:t>
            </w:r>
          </w:p>
        </w:tc>
        <w:tc>
          <w:tcPr>
            <w:tcW w:type="dxa" w:w="4000"/>
            <w:shd w:fill="EDF1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$27,600,000</w:t>
            </w:r>
          </w:p>
        </w:tc>
      </w:tr>
      <w:tr>
        <w:tc>
          <w:tcPr>
            <w:tcW w:type="dxa" w:w="5350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Gross profit / margin</w:t>
            </w:r>
          </w:p>
        </w:tc>
        <w:tc>
          <w:tcPr>
            <w:tcW w:type="dxa" w:w="4000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$2,204,000 · 8.0%</w:t>
            </w:r>
          </w:p>
        </w:tc>
      </w:tr>
      <w:tr>
        <w:tc>
          <w:tcPr>
            <w:tcW w:type="dxa" w:w="5350"/>
            <w:shd w:fill="EDF1F7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EBITDA</w:t>
            </w:r>
          </w:p>
        </w:tc>
        <w:tc>
          <w:tcPr>
            <w:tcW w:type="dxa" w:w="4000"/>
            <w:shd w:fill="EDF1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$1,380,000</w:t>
            </w:r>
          </w:p>
        </w:tc>
      </w:tr>
      <w:tr>
        <w:tc>
          <w:tcPr>
            <w:tcW w:type="dxa" w:w="5350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Net income</w:t>
            </w:r>
          </w:p>
        </w:tc>
        <w:tc>
          <w:tcPr>
            <w:tcW w:type="dxa" w:w="4000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$590,000</w:t>
            </w:r>
          </w:p>
        </w:tc>
      </w:tr>
      <w:tr>
        <w:tc>
          <w:tcPr>
            <w:tcW w:type="dxa" w:w="5350"/>
            <w:shd w:fill="EDF1F7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 interest-bearing debt</w:t>
            </w:r>
          </w:p>
        </w:tc>
        <w:tc>
          <w:tcPr>
            <w:tcW w:type="dxa" w:w="4000"/>
            <w:shd w:fill="EDF1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$2,480,000</w:t>
            </w:r>
          </w:p>
        </w:tc>
      </w:tr>
      <w:tr>
        <w:tc>
          <w:tcPr>
            <w:tcW w:type="dxa" w:w="5350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Stockholder's equity</w:t>
            </w:r>
          </w:p>
        </w:tc>
        <w:tc>
          <w:tcPr>
            <w:tcW w:type="dxa" w:w="4000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$2,950,000</w:t>
            </w:r>
          </w:p>
        </w:tc>
      </w:tr>
      <w:tr>
        <w:tc>
          <w:tcPr>
            <w:tcW w:type="dxa" w:w="5350"/>
            <w:shd w:fill="EDF1F7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Contract receivables</w:t>
            </w:r>
          </w:p>
        </w:tc>
        <w:tc>
          <w:tcPr>
            <w:tcW w:type="dxa" w:w="4000"/>
            <w:shd w:fill="EDF1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$4,120,000</w:t>
            </w:r>
          </w:p>
        </w:tc>
      </w:tr>
      <w:tr>
        <w:tc>
          <w:tcPr>
            <w:tcW w:type="dxa" w:w="5350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Distributions to stockholder</w:t>
            </w:r>
          </w:p>
        </w:tc>
        <w:tc>
          <w:tcPr>
            <w:tcW w:type="dxa" w:w="4000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$310,000</w:t>
            </w:r>
          </w:p>
        </w:tc>
      </w:tr>
    </w:tbl>
    <w:p>
      <w:pPr>
        <w:spacing w:after="200" w:before="200"/>
      </w:pPr>
    </w:p>
    <w:p>
      <w:pPr>
        <w:pStyle w:val="Heading1"/>
        <w:spacing w:after="110" w:before="220"/>
      </w:pPr>
      <w:r>
        <w:rPr>
          <w:b/>
          <w:bCs/>
          <w:color w:val="1F3864"/>
          <w:sz w:val="24"/>
          <w:szCs w:val="24"/>
        </w:rPr>
        <w:t xml:space="preserve">4. RECEIVABLES AND CUSTOMER BASE</w:t>
      </w:r>
    </w:p>
    <w:p>
      <w:pPr>
        <w:spacing w:after="110"/>
      </w:pPr>
      <w:r>
        <w:rPr>
          <w:sz w:val="20"/>
          <w:szCs w:val="20"/>
        </w:rPr>
        <w:t xml:space="preserve">Receivable quality is acceptable and primarily within contractual terms. The largest customer represented $780,000, or 19% of receivables, at December 31, 2023. Management represents that the pipeline is broader-based and expects to diversify the top account during FY2024. Concentration is designated a monitoring item for the next review.</w:t>
      </w:r>
    </w:p>
    <w:p>
      <w:pPr>
        <w:pStyle w:val="Heading1"/>
        <w:spacing w:after="110" w:before="220"/>
      </w:pPr>
      <w:r>
        <w:rPr>
          <w:b/>
          <w:bCs/>
          <w:color w:val="1F3864"/>
          <w:sz w:val="24"/>
          <w:szCs w:val="24"/>
        </w:rPr>
        <w:t xml:space="preserve">5. FACILITY PERFORMANCE</w:t>
      </w:r>
    </w:p>
    <w:p>
      <w:pPr>
        <w:spacing w:after="110"/>
      </w:pPr>
      <w:r>
        <w:rPr>
          <w:sz w:val="20"/>
          <w:szCs w:val="20"/>
        </w:rPr>
        <w:t xml:space="preserve">$2.0M revolver · average utilization approximately 35% · clean 30-day rest. All payments current; borrowing-base certificates are required at elevated utilization.</w:t>
      </w:r>
    </w:p>
    <w:p>
      <w:r>
        <w:br w:type="page"/>
      </w:r>
    </w:p>
    <w:tbl>
      <w:tblPr>
        <w:tblW w:type="dxa" w:w="9350"/>
        <w:tblBorders>
          <w:top w:val="single" w:color="1F3864" w:sz="4"/>
          <w:left w:val="nil"/>
          <w:bottom w:val="single" w:color="1F3864" w:sz="4"/>
          <w:right w:val="nil"/>
          <w:insideH w:val="nil"/>
          <w:insideV w:val="nil"/>
        </w:tblBorders>
      </w:tblPr>
      <w:tblGrid>
        <w:gridCol w:w="5350"/>
        <w:gridCol w:w="4000"/>
      </w:tblGrid>
      <w:tr>
        <w:tc>
          <w:tcPr>
            <w:tcW w:type="dxa" w:w="5350"/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GOLDEN STATE COMMERCE BANK, N.A.</w:t>
            </w:r>
          </w:p>
          <w:p>
            <w:r>
              <w:rPr>
                <w:color w:val="D9E2F0"/>
                <w:sz w:val="16"/>
                <w:szCs w:val="16"/>
              </w:rPr>
              <w:t xml:space="preserve">INTERNAL — CONFIDENTIAL · ANNUAL CREDIT REVIEW FY2023</w:t>
            </w:r>
          </w:p>
        </w:tc>
        <w:tc>
          <w:tcPr>
            <w:tcW w:type="dxa" w:w="4000"/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CREDIT ADMINISTRATION</w:t>
            </w:r>
          </w:p>
          <w:p>
            <w:pPr>
              <w:jc w:val="right"/>
            </w:pPr>
            <w:r>
              <w:rPr>
                <w:color w:val="D9E2F0"/>
                <w:sz w:val="16"/>
                <w:szCs w:val="16"/>
              </w:rPr>
              <w:t xml:space="preserve">Page 3 — Risk factors,</w:t>
            </w:r>
          </w:p>
          <w:p>
            <w:pPr>
              <w:jc w:val="right"/>
            </w:pPr>
            <w:r>
              <w:rPr>
                <w:color w:val="D9E2F0"/>
                <w:sz w:val="16"/>
                <w:szCs w:val="16"/>
              </w:rPr>
              <w:t xml:space="preserve">monitoring, projections</w:t>
            </w:r>
          </w:p>
        </w:tc>
      </w:tr>
    </w:tbl>
    <w:p>
      <w:pPr>
        <w:spacing w:after="200" w:before="200"/>
      </w:pPr>
    </w:p>
    <w:p>
      <w:pPr>
        <w:pStyle w:val="Heading1"/>
        <w:spacing w:after="110" w:before="220"/>
      </w:pPr>
      <w:r>
        <w:rPr>
          <w:b/>
          <w:bCs/>
          <w:color w:val="1F3864"/>
          <w:sz w:val="24"/>
          <w:szCs w:val="24"/>
        </w:rPr>
        <w:t xml:space="preserve">6. RISK FACTORS AND MONITORING ITEMS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Customer concentration (MONITORING ITEM)</w:t>
      </w:r>
    </w:p>
    <w:p>
      <w:pPr>
        <w:spacing w:after="150"/>
        <w:ind w:left="360"/>
      </w:pPr>
      <w:r>
        <w:rPr>
          <w:sz w:val="20"/>
          <w:szCs w:val="20"/>
        </w:rPr>
        <w:t xml:space="preserve">Top account at 19% of receivables; management expects diversification during FY2024. Re-examine at the next annual review using a customer-level receivables schedule.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Estimating discipline</w:t>
      </w:r>
    </w:p>
    <w:p>
      <w:pPr>
        <w:spacing w:after="150"/>
        <w:ind w:left="360"/>
      </w:pPr>
      <w:r>
        <w:rPr>
          <w:sz w:val="20"/>
          <w:szCs w:val="20"/>
        </w:rPr>
        <w:t xml:space="preserve">FY2023 gross margin of 8.0% reflected project mix and estimating pressure similar to the prior year. Monitor original-versus-current margin on the FY2024 WIP.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Cyclicality</w:t>
      </w:r>
    </w:p>
    <w:p>
      <w:pPr>
        <w:spacing w:after="150"/>
        <w:ind w:left="360"/>
      </w:pPr>
      <w:r>
        <w:rPr>
          <w:sz w:val="20"/>
          <w:szCs w:val="20"/>
        </w:rPr>
        <w:t xml:space="preserve">Commercial construction exposure to the California development cycle; mitigated by operating history and guarantor support.</w:t>
      </w:r>
    </w:p>
    <w:p>
      <w:pPr>
        <w:pStyle w:val="Heading1"/>
        <w:spacing w:after="110" w:before="220"/>
      </w:pPr>
      <w:r>
        <w:rPr>
          <w:b/>
          <w:bCs/>
          <w:color w:val="1F3864"/>
          <w:sz w:val="24"/>
          <w:szCs w:val="24"/>
        </w:rPr>
        <w:t xml:space="preserve">7. CONDITIONS OF RENEWAL</w:t>
      </w:r>
    </w:p>
    <w:p>
      <w:pPr>
        <w:spacing w:after="110"/>
      </w:pPr>
      <w:r>
        <w:rPr>
          <w:sz w:val="20"/>
          <w:szCs w:val="20"/>
        </w:rPr>
        <w:t xml:space="preserve">Annual company-prepared financial statements and federal tax returns within 120 days of fiscal year end; personal financial statement of guarantor annually; customer-level receivables schedule at the FY2024 review; 30-day annual line rest.</w:t>
      </w:r>
    </w:p>
    <w:p>
      <w:pPr>
        <w:pStyle w:val="Heading1"/>
        <w:spacing w:after="110" w:before="220"/>
      </w:pPr>
      <w:r>
        <w:rPr>
          <w:b/>
          <w:bCs/>
          <w:color w:val="1F3864"/>
          <w:sz w:val="24"/>
          <w:szCs w:val="24"/>
        </w:rPr>
        <w:t xml:space="preserve">8. FINANCIAL PROJECTIONS — FYE 12/31/2024 (management forecast, unaudited)</w:t>
      </w:r>
    </w:p>
    <w:p>
      <w:pPr>
        <w:spacing w:after="110"/>
      </w:pPr>
      <w:r>
        <w:rPr>
          <w:sz w:val="20"/>
          <w:szCs w:val="20"/>
        </w:rPr>
        <w:t xml:space="preserve">Management's forecast assumes continued backlog conversion in commercial and light-industrial segments, modest bid-margin recovery, and no material change in the Company's cost structure or financing terms. Projections are unaudited and have not been independently verified by the Bank.</w:t>
      </w:r>
    </w:p>
    <w:tbl>
      <w:tblPr>
        <w:tblW w:type="dxa" w:w="935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DDDDDD" w:sz="2"/>
          <w:insideV w:val="single" w:color="DDDDDD" w:sz="2"/>
        </w:tblBorders>
      </w:tblPr>
      <w:tblGrid>
        <w:gridCol w:w="5350"/>
        <w:gridCol w:w="4000"/>
      </w:tblGrid>
      <w:tr>
        <w:tc>
          <w:tcPr>
            <w:tcW w:type="dxa" w:w="5350"/>
            <w:shd w:fill="EDF1F7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Revenue</w:t>
            </w:r>
          </w:p>
        </w:tc>
        <w:tc>
          <w:tcPr>
            <w:tcW w:type="dxa" w:w="4000"/>
            <w:shd w:fill="EDF1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$30,800,000  (+11.6% vs FY2023)</w:t>
            </w:r>
          </w:p>
        </w:tc>
      </w:tr>
      <w:tr>
        <w:tc>
          <w:tcPr>
            <w:tcW w:type="dxa" w:w="5350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Gross profit / margin</w:t>
            </w:r>
          </w:p>
        </w:tc>
        <w:tc>
          <w:tcPr>
            <w:tcW w:type="dxa" w:w="4000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$2,460,000 · 8.0%</w:t>
            </w:r>
          </w:p>
        </w:tc>
      </w:tr>
      <w:tr>
        <w:tc>
          <w:tcPr>
            <w:tcW w:type="dxa" w:w="5350"/>
            <w:shd w:fill="EDF1F7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EBITDA</w:t>
            </w:r>
          </w:p>
        </w:tc>
        <w:tc>
          <w:tcPr>
            <w:tcW w:type="dxa" w:w="4000"/>
            <w:shd w:fill="EDF1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$1,650,000</w:t>
            </w:r>
          </w:p>
        </w:tc>
      </w:tr>
      <w:tr>
        <w:tc>
          <w:tcPr>
            <w:tcW w:type="dxa" w:w="5350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Net income</w:t>
            </w:r>
          </w:p>
        </w:tc>
        <w:tc>
          <w:tcPr>
            <w:tcW w:type="dxa" w:w="4000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$720,000</w:t>
            </w:r>
          </w:p>
        </w:tc>
      </w:tr>
      <w:tr>
        <w:tc>
          <w:tcPr>
            <w:tcW w:type="dxa" w:w="5350"/>
            <w:shd w:fill="EDF1F7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 interest-bearing debt</w:t>
            </w:r>
          </w:p>
        </w:tc>
        <w:tc>
          <w:tcPr>
            <w:tcW w:type="dxa" w:w="4000"/>
            <w:shd w:fill="EDF1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$2,300,000</w:t>
            </w:r>
          </w:p>
        </w:tc>
      </w:tr>
      <w:tr>
        <w:tc>
          <w:tcPr>
            <w:tcW w:type="dxa" w:w="5350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Stockholder's equity</w:t>
            </w:r>
          </w:p>
        </w:tc>
        <w:tc>
          <w:tcPr>
            <w:tcW w:type="dxa" w:w="4000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$3,550,000</w:t>
            </w:r>
          </w:p>
        </w:tc>
      </w:tr>
      <w:tr>
        <w:tc>
          <w:tcPr>
            <w:tcW w:type="dxa" w:w="5350"/>
            <w:shd w:fill="EDF1F7" w:val="clear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Projected average revolver utilization</w:t>
            </w:r>
          </w:p>
        </w:tc>
        <w:tc>
          <w:tcPr>
            <w:tcW w:type="dxa" w:w="4000"/>
            <w:shd w:fill="EDF1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≈ 30%</w:t>
            </w:r>
          </w:p>
        </w:tc>
      </w:tr>
    </w:tbl>
    <w:p>
      <w:pPr>
        <w:spacing w:after="150" w:before="150"/>
      </w:pPr>
      <w:r>
        <w:rPr>
          <w:i/>
          <w:iCs/>
          <w:color w:val="666666"/>
          <w:sz w:val="18"/>
          <w:szCs w:val="18"/>
        </w:rPr>
        <w:t xml:space="preserve">Projected debt service coverage is expected to remain above 1.35x at forecast EBITDA and current debt service, consistent with the risk rating of 4 – Satisfactory. Actual FY2024 results should be reconciled to this forecast at the next annual review.</w:t>
      </w:r>
    </w:p>
    <w:p>
      <w:pPr>
        <w:pStyle w:val="Heading1"/>
        <w:spacing w:after="110" w:before="220"/>
      </w:pPr>
      <w:r>
        <w:rPr>
          <w:b/>
          <w:bCs/>
          <w:color w:val="1F3864"/>
          <w:sz w:val="24"/>
          <w:szCs w:val="24"/>
        </w:rPr>
        <w:t xml:space="preserve">9. APPROVAL</w:t>
      </w:r>
    </w:p>
    <w:p>
      <w:pPr>
        <w:spacing w:after="110"/>
      </w:pPr>
      <w:r>
        <w:rPr>
          <w:sz w:val="20"/>
          <w:szCs w:val="20"/>
        </w:rPr>
        <w:t xml:space="preserve">Renewal of the $2.0M revolving line of credit is approved at risk rating 4 – Satisfactory. (Specimen — signatures on file.)</w:t>
      </w:r>
    </w:p>
    <w:tbl>
      <w:tblPr>
        <w:tblW w:type="dxa" w:w="935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DDDDDD" w:sz="2"/>
          <w:insideV w:val="single" w:color="DDDDDD" w:sz="2"/>
        </w:tblBorders>
      </w:tblPr>
      <w:tblGrid>
        <w:gridCol w:w="5350"/>
        <w:gridCol w:w="4000"/>
      </w:tblGrid>
      <w:tr>
        <w:tc>
          <w:tcPr>
            <w:tcW w:type="dxa" w:w="5350"/>
            <w:tcMar>
              <w:top w:type="dxa" w:w="80"/>
              <w:left w:type="dxa" w:w="15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A. Chen — Credit Analyst</w:t>
            </w:r>
          </w:p>
        </w:tc>
        <w:tc>
          <w:tcPr>
            <w:tcW w:type="dxa" w:w="4000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R. Delgado — SVP, Senior Credit Officer</w:t>
            </w:r>
          </w:p>
        </w:tc>
      </w:tr>
    </w:tbl>
    <w:p>
      <w:pPr>
        <w:spacing w:after="0" w:before="100"/>
      </w:pPr>
      <w:r>
        <w:rPr>
          <w:b/>
          <w:bCs/>
          <w:sz w:val="18"/>
          <w:szCs w:val="18"/>
        </w:rPr>
        <w:t xml:space="preserve">CDD review status: CLEAR – ownership certification verified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2026-09-05T10:31:13.133Z</dcterms:created>
  <dcterms:modified xsi:type="dcterms:W3CDTF">2026-09-05T10:31:13.133Z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