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Memo date: March 18, 2025</w:t>
            </w:r>
          </w:p>
        </w:tc>
      </w:tr>
    </w:tbl>
    <w:p>
      <w:pPr>
        <w:spacing w:after="4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7528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6"/>
              </w:rPr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BORROWER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Delta Orchard Construction, Inc.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FACILITIES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$1.2M revolving LOC (Prime + 0.75%) · equipment term notes $0.7M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RISK RATING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4 - Satisfactory  (unchanged)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GUARANTY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Lucas E. Moreno - President and 100% guarantor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ACTION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Approve annual renewal of $1.2M revolving line of credit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ANALYST / APPROVER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A. Chen, Credit Analyst · R. Delgado, SVP Senior Credit Officer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1. RELATIONSHIP OVERVIEW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Delta Orchard Construction, Inc. is a California commercial contractor and a Bank client since 2019. FY2024 revenue was $17.2M and net income $1.1M. The operating account and payroll relationship remain at the Bank; average collected balances approximated $640M-thousand. Line usage was orderly with a clean 30-day annual rest achieved during the review period.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2. MANAGEMENT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Lucas E. Moreno, President and controlling shareholder, leads the Company. Management is regarded as capable, with estimating discipline noted as an area to monitor following the FY2024 margin result.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Page 2 — Financial summary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3. FINANCIAL SUMMARY — FYE 12/31/2024 (company-prepared)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650"/>
        <w:gridCol w:w="3478"/>
      </w:tblGrid>
      <w:tr>
        <w:trPr>
          <w:tblHeader w:val="true"/>
        </w:trPr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6"/>
              </w:rPr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Revenue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$17,200,000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Gross profit / margin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$3,100,000 · 18.0%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EBITDA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$1,540,000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Net income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$1,100,000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Total interest-bearing debt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$1,280,000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Stockholder's equity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$5,610,000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Contract receivables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$2,450,000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Distributions to stockholder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$126,000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4. RECEIVABLES AND CUSTOMER BASE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Receivable quality is acceptable and primarily within contractual terms. The largest customer represented $416,500, or 17% of receivables, at December 31, 2024. Management represents that the pipeline is broader-based and expects to diversify the top account during FY2025. Concentration is designated a monitoring item for the next review.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5. FACILITY PERFORMANCE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$1.2M revolver · average utilization approximately 31% · clean 30-day rest. All payments current; borrowing-base certificates are required at elevated utilization.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Page 3 — Risk factors, monitoring, approval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6. RISK FACTORS AND MONITORING ITEMS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Customer concentration (MONITORING ITEM)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Top account at 17% of receivables; management expects diversification during FY2025. Re-examine at the next annual review using a customer-level receivables schedule.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Estimating discipline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FY2024 gross margin of 18.0% reflected project mix and estimating pressure. Monitor original-versus-current margin on the FY2025 WIP.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Cyclicality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Commercial construction exposure to the California development cycle; mitigated by operating history and guarantor support.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7. CONDITIONS OF RENEWAL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Annual company-prepared financial statements and federal tax returns within 120 days of fiscal year end; personal financial statement of guarantor annually; customer-level receivables schedule at the FY2025 review; 30-day annual line rest.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8. APPROVAL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Renewal of the $1.2M revolving line of credit is approved at risk rating 4 - Satisfactory. (Specimen — signatures on file.)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40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250" w:type="dxa"/>
              <w:bottom w:w="0" w:type="dxa"/>
              <w:start w:w="40" w:type="dxa"/>
              <w:end w:w="40" w:type="dxa"/>
            </w:tcMar>
            <w:tcBorders>
              <w:top w:val="nil"/>
              <w:bottom w:val="single" w:sz="8" w:color="1B2A47"/>
              <w:start w:val="nil"/>
              <w:end w:val="nil"/>
            </w:tcBorders>
          </w:tcPr>
          <w:p/>
        </w:tc>
        <w:tc>
          <w:tcPr>
            <w:tcW w:type="dxa" w:w="5078"/>
            <w:tcMar>
              <w:top w:w="250" w:type="dxa"/>
              <w:bottom w:w="0" w:type="dxa"/>
              <w:start w:w="40" w:type="dxa"/>
              <w:end w:w="40" w:type="dxa"/>
            </w:tcMar>
            <w:tcBorders>
              <w:top w:val="nil"/>
              <w:bottom w:val="single" w:sz="8" w:color="1B2A47"/>
              <w:start w:val="nil"/>
              <w:end w:val="nil"/>
            </w:tcBorders>
          </w:tcPr>
          <w:p/>
        </w:tc>
      </w:tr>
      <w:tr>
        <w:trPr/>
        <w:tc>
          <w:tcPr>
            <w:tcW w:type="dxa" w:w="5050"/>
            <w:tcMar>
              <w:top w:w="35" w:type="dxa"/>
              <w:bottom w:w="0" w:type="dxa"/>
              <w:start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5B6472"/>
                <w:sz w:val="14"/>
              </w:rPr>
              <w:t>A. Chen — Credit Analyst</w:t>
            </w:r>
          </w:p>
        </w:tc>
        <w:tc>
          <w:tcPr>
            <w:tcW w:type="dxa" w:w="5078"/>
            <w:tcMar>
              <w:top w:w="35" w:type="dxa"/>
              <w:bottom w:w="0" w:type="dxa"/>
              <w:start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5B6472"/>
                <w:sz w:val="14"/>
              </w:rPr>
              <w:t>R. Delgado — SVP, Senior Credit Officer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CDD review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CLEAR - ownership certification verified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Golden State Commerce Bank, N.A. — Internal Credit Memorandum (FY2024 annual review)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Prior Credit Memo</dc:title>
  <dc:subject>Sigma parser fixture: 06_incomplete_resubmission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