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 w:line="276"/>
        <w:jc w:val="left"/>
      </w:pPr>
      <w:r>
        <w:rPr>
          <w:rFonts w:ascii="Arial" w:cs="Arial" w:eastAsia="Arial" w:hAnsi="Arial"/>
          <w:b w:val="false"/>
          <w:bCs w:val="false"/>
          <w:sz w:val="24"/>
          <w:szCs w:val="24"/>
        </w:rPr>
        <w:t xml:space="preserve"/>
      </w:r>
    </w:p>
    <w:p>
      <w:pPr>
        <w:spacing w:after="0" w:line="276"/>
        <w:jc w:val="left"/>
      </w:pPr>
      <w:r>
        <w:rPr>
          <w:rFonts w:ascii="Arial" w:cs="Arial" w:eastAsia="Arial" w:hAnsi="Arial"/>
          <w:b w:val="false"/>
          <w:bCs w:val="false"/>
          <w:sz w:val="24"/>
          <w:szCs w:val="24"/>
        </w:rPr>
        <w:t xml:space="preserve"/>
      </w:r>
    </w:p>
    <w:p>
      <w:pPr>
        <w:spacing w:after="0" w:line="276"/>
        <w:jc w:val="left"/>
      </w:pPr>
      <w:r>
        <w:rPr>
          <w:rFonts w:ascii="Arial" w:cs="Arial" w:eastAsia="Arial" w:hAnsi="Arial"/>
          <w:b w:val="false"/>
          <w:bCs w:val="false"/>
          <w:sz w:val="24"/>
          <w:szCs w:val="24"/>
        </w:rPr>
        <w:t xml:space="preserve"/>
      </w:r>
    </w:p>
    <w:p>
      <w:pPr>
        <w:spacing w:after="0" w:line="276"/>
        <w:jc w:val="left"/>
      </w:pPr>
      <w:r>
        <w:rPr>
          <w:rFonts w:ascii="Arial" w:cs="Arial" w:eastAsia="Arial" w:hAnsi="Arial"/>
          <w:b w:val="false"/>
          <w:bCs w:val="false"/>
          <w:sz w:val="24"/>
          <w:szCs w:val="24"/>
        </w:rPr>
        <w:t xml:space="preserve"/>
      </w:r>
    </w:p>
    <w:p>
      <w:pPr>
        <w:spacing w:after="0" w:line="276"/>
        <w:jc w:val="left"/>
      </w:pPr>
      <w:r>
        <w:rPr>
          <w:rFonts w:ascii="Arial" w:cs="Arial" w:eastAsia="Arial" w:hAnsi="Arial"/>
          <w:b w:val="false"/>
          <w:bCs w:val="false"/>
          <w:sz w:val="24"/>
          <w:szCs w:val="24"/>
        </w:rPr>
        <w:t xml:space="preserve"/>
      </w:r>
    </w:p>
    <w:p>
      <w:pPr>
        <w:spacing w:after="0" w:line="276"/>
        <w:jc w:val="left"/>
      </w:pPr>
      <w:r>
        <w:rPr>
          <w:rFonts w:ascii="Arial" w:cs="Arial" w:eastAsia="Arial" w:hAnsi="Arial"/>
          <w:b w:val="false"/>
          <w:bCs w:val="false"/>
          <w:sz w:val="24"/>
          <w:szCs w:val="24"/>
        </w:rPr>
        <w:t xml:space="preserve"/>
      </w:r>
    </w:p>
    <w:p>
      <w:pPr>
        <w:spacing w:after="0" w:line="276"/>
        <w:jc w:val="left"/>
      </w:pPr>
      <w:r>
        <w:rPr>
          <w:rFonts w:ascii="Arial" w:cs="Arial" w:eastAsia="Arial" w:hAnsi="Arial"/>
          <w:b w:val="false"/>
          <w:bCs w:val="false"/>
          <w:sz w:val="24"/>
          <w:szCs w:val="24"/>
        </w:rPr>
        <w:t xml:space="preserve"/>
      </w:r>
    </w:p>
    <w:p>
      <w:pPr>
        <w:spacing w:after="0" w:line="276"/>
        <w:jc w:val="left"/>
      </w:pPr>
      <w:r>
        <w:rPr>
          <w:rFonts w:ascii="Arial" w:cs="Arial" w:eastAsia="Arial" w:hAnsi="Arial"/>
          <w:b w:val="false"/>
          <w:bCs w:val="false"/>
          <w:sz w:val="24"/>
          <w:szCs w:val="24"/>
        </w:rPr>
        <w:t xml:space="preserve"/>
      </w:r>
    </w:p>
    <w:p>
      <w:pPr>
        <w:spacing w:after="0" w:line="276"/>
        <w:jc w:val="left"/>
      </w:pPr>
      <w:r>
        <w:rPr>
          <w:rFonts w:ascii="Arial" w:cs="Arial" w:eastAsia="Arial" w:hAnsi="Arial"/>
          <w:b w:val="false"/>
          <w:bCs w:val="false"/>
          <w:sz w:val="24"/>
          <w:szCs w:val="24"/>
        </w:rPr>
        <w:t xml:space="preserve"/>
      </w:r>
    </w:p>
    <w:p>
      <w:pPr>
        <w:spacing w:after="0" w:line="276"/>
        <w:jc w:val="center"/>
      </w:pPr>
      <w:r>
        <w:rPr>
          <w:rFonts w:ascii="Arial" w:cs="Arial" w:eastAsia="Arial" w:hAnsi="Arial"/>
          <w:b w:val="false"/>
          <w:bCs w:val="false"/>
          <w:sz w:val="24"/>
          <w:szCs w:val="24"/>
        </w:rPr>
        <w:t xml:space="preserve">UNIVERSIDAD LA SALLE CHIHUAHUA</w:t>
      </w:r>
    </w:p>
    <w:p>
      <w:pPr>
        <w:spacing w:after="0" w:line="276"/>
        <w:jc w:val="center"/>
      </w:pPr>
      <w:r>
        <w:rPr>
          <w:rFonts w:ascii="Arial" w:cs="Arial" w:eastAsia="Arial" w:hAnsi="Arial"/>
          <w:b w:val="false"/>
          <w:bCs w:val="false"/>
          <w:sz w:val="24"/>
          <w:szCs w:val="24"/>
        </w:rPr>
        <w:t xml:space="preserve">Arquitectura y Urbanismo</w:t>
      </w:r>
    </w:p>
    <w:p>
      <w:pPr>
        <w:spacing w:after="0" w:line="276"/>
        <w:jc w:val="center"/>
      </w:pPr>
      <w:r>
        <w:rPr>
          <w:rFonts w:ascii="Arial" w:cs="Arial" w:eastAsia="Arial" w:hAnsi="Arial"/>
          <w:b w:val="false"/>
          <w:bCs w:val="false"/>
          <w:sz w:val="24"/>
          <w:szCs w:val="24"/>
        </w:rPr>
        <w:t xml:space="preserve">3er Semestre</w:t>
      </w:r>
    </w:p>
    <w:p>
      <w:pPr>
        <w:spacing w:after="0" w:line="276"/>
        <w:jc w:val="center"/>
      </w:pPr>
      <w:r>
        <w:rPr>
          <w:rFonts w:ascii="Arial" w:cs="Arial" w:eastAsia="Arial" w:hAnsi="Arial"/>
          <w:b w:val="false"/>
          <w:bCs w:val="false"/>
          <w:sz w:val="24"/>
          <w:szCs w:val="24"/>
        </w:rPr>
        <w:t xml:space="preserve">Análisis de Proyectos</w:t>
      </w:r>
    </w:p>
    <w:p>
      <w:pPr>
        <w:spacing w:after="0" w:line="276"/>
        <w:jc w:val="center"/>
      </w:pPr>
      <w:r>
        <w:rPr>
          <w:rFonts w:ascii="Arial" w:cs="Arial" w:eastAsia="Arial" w:hAnsi="Arial"/>
          <w:b w:val="false"/>
          <w:bCs w:val="false"/>
          <w:sz w:val="24"/>
          <w:szCs w:val="24"/>
        </w:rPr>
        <w:t xml:space="preserve">Arq. Ricardo Sáenz</w:t>
      </w:r>
    </w:p>
    <w:p>
      <w:pPr>
        <w:spacing w:after="0" w:line="276"/>
        <w:jc w:val="left"/>
      </w:pPr>
      <w:r>
        <w:rPr>
          <w:rFonts w:ascii="Arial" w:cs="Arial" w:eastAsia="Arial" w:hAnsi="Arial"/>
          <w:b w:val="false"/>
          <w:bCs w:val="false"/>
          <w:sz w:val="24"/>
          <w:szCs w:val="24"/>
        </w:rPr>
        <w:t xml:space="preserve"/>
      </w:r>
    </w:p>
    <w:p>
      <w:pPr>
        <w:spacing w:after="0" w:line="276"/>
        <w:jc w:val="center"/>
      </w:pPr>
      <w:r>
        <w:rPr>
          <w:rFonts w:ascii="Arial" w:cs="Arial" w:eastAsia="Arial" w:hAnsi="Arial"/>
          <w:b w:val="false"/>
          <w:bCs w:val="false"/>
          <w:sz w:val="24"/>
          <w:szCs w:val="24"/>
        </w:rPr>
        <w:t xml:space="preserve">[Nombre del alumno]</w:t>
      </w:r>
    </w:p>
    <w:p>
      <w:pPr>
        <w:spacing w:after="0" w:line="276"/>
        <w:jc w:val="center"/>
      </w:pPr>
      <w:r>
        <w:rPr>
          <w:rFonts w:ascii="Arial" w:cs="Arial" w:eastAsia="Arial" w:hAnsi="Arial"/>
          <w:b w:val="false"/>
          <w:bCs w:val="false"/>
          <w:sz w:val="24"/>
          <w:szCs w:val="24"/>
        </w:rPr>
        <w:t xml:space="preserve">[Matrícula]</w:t>
      </w:r>
    </w:p>
    <w:p>
      <w:r>
        <w:br w:type="page"/>
      </w:r>
    </w:p>
    <w:p>
      <w:pPr>
        <w:spacing w:after="160" w:line="276"/>
        <w:jc w:val="left"/>
      </w:pPr>
      <w:r>
        <w:rPr>
          <w:rFonts w:ascii="Arial" w:cs="Arial" w:eastAsia="Arial" w:hAnsi="Arial"/>
          <w:b w:val="false"/>
          <w:bCs w:val="false"/>
          <w:sz w:val="24"/>
          <w:szCs w:val="24"/>
        </w:rPr>
        <w:t xml:space="preserve">TAREA: Buscar en artículos las medidas básicas de una casa.</w:t>
      </w:r>
    </w:p>
    <w:p>
      <w:pPr>
        <w:spacing w:after="0" w:line="276"/>
        <w:jc w:val="left"/>
      </w:pPr>
      <w:r>
        <w:rPr>
          <w:rFonts w:ascii="Arial" w:cs="Arial" w:eastAsia="Arial" w:hAnsi="Arial"/>
          <w:b w:val="false"/>
          <w:bCs w:val="false"/>
          <w:sz w:val="24"/>
          <w:szCs w:val="24"/>
        </w:rPr>
        <w:t xml:space="preserve">- ¿Qué espacio es?</w:t>
      </w:r>
    </w:p>
    <w:p>
      <w:pPr>
        <w:spacing w:after="0" w:line="276"/>
        <w:jc w:val="left"/>
      </w:pPr>
      <w:r>
        <w:rPr>
          <w:rFonts w:ascii="Arial" w:cs="Arial" w:eastAsia="Arial" w:hAnsi="Arial"/>
          <w:b w:val="false"/>
          <w:bCs w:val="false"/>
          <w:sz w:val="24"/>
          <w:szCs w:val="24"/>
        </w:rPr>
        <w:t xml:space="preserve">- ¿Qué artículo lo contiene?</w:t>
      </w:r>
    </w:p>
    <w:p>
      <w:pPr>
        <w:spacing w:after="160" w:line="276"/>
        <w:jc w:val="left"/>
      </w:pPr>
      <w:r>
        <w:rPr>
          <w:rFonts w:ascii="Arial" w:cs="Arial" w:eastAsia="Arial" w:hAnsi="Arial"/>
          <w:b w:val="false"/>
          <w:bCs w:val="false"/>
          <w:sz w:val="24"/>
          <w:szCs w:val="24"/>
        </w:rPr>
        <w:t xml:space="preserve">- Describir en palabras propias el artículo.</w:t>
      </w:r>
    </w:p>
    <w:p>
      <w:pPr>
        <w:spacing w:after="240" w:line="276"/>
        <w:jc w:val="left"/>
      </w:pPr>
      <w:r>
        <w:rPr>
          <w:rFonts w:ascii="Arial" w:cs="Arial" w:eastAsia="Arial" w:hAnsi="Arial"/>
          <w:b w:val="false"/>
          <w:bCs w:val="false"/>
          <w:sz w:val="24"/>
          <w:szCs w:val="24"/>
        </w:rPr>
        <w:t xml:space="preserve">Reglamento consultado: Reglamento de Construcciones y Normas Técnicas para el Municipio de Chihuahua.</w:t>
      </w:r>
    </w:p>
    <w:tbl>
      <w:tblPr>
        <w:tblW w:type="dxa" w:w="9000"/>
        <w:tblBorders>
          <w:top w:val="single" w:color="808080" w:sz="4"/>
          <w:left w:val="single" w:color="808080" w:sz="4"/>
          <w:bottom w:val="single" w:color="808080" w:sz="4"/>
          <w:right w:val="single" w:color="808080" w:sz="4"/>
          <w:insideH w:val="single" w:color="808080" w:sz="4"/>
          <w:insideV w:val="single" w:color="808080" w:sz="4"/>
        </w:tblBorders>
      </w:tblPr>
      <w:tblGrid>
        <w:gridCol w:w="2340"/>
        <w:gridCol w:w="1620"/>
        <w:gridCol w:w="5040"/>
      </w:tblGrid>
      <w:tr>
        <w:trPr>
          <w:tblHeader/>
        </w:trPr>
        <w:tc>
          <w:tcPr>
            <w:tcW w:type="dxa" w:w="2340"/>
            <w:shd w:fill="D9D9D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ESPACIO / ELEMENTO</w:t>
            </w:r>
          </w:p>
        </w:tc>
        <w:tc>
          <w:tcPr>
            <w:tcW w:type="dxa" w:w="1620"/>
            <w:shd w:fill="D9D9D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ARTÍCULO</w:t>
            </w:r>
          </w:p>
        </w:tc>
        <w:tc>
          <w:tcPr>
            <w:tcW w:type="dxa" w:w="5040"/>
            <w:shd w:fill="D9D9D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DESCRIPCIÓN</w:t>
            </w:r>
          </w:p>
        </w:tc>
      </w:tr>
      <w:tr>
        <w:tc>
          <w:tcPr>
            <w:tcW w:type="dxa" w:w="234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Vivienda unifamiliar</w:t>
            </w:r>
          </w:p>
        </w:tc>
        <w:tc>
          <w:tcPr>
            <w:tcW w:type="dxa" w:w="162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Artículo 13</w:t>
            </w:r>
          </w:p>
        </w:tc>
        <w:tc>
          <w:tcPr>
            <w:tcW w:type="dxa" w:w="504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Dentro del género habitación se clasifica como vivienda mínima, de una sola vivienda.</w:t>
            </w:r>
          </w:p>
        </w:tc>
      </w:tr>
      <w:tr>
        <w:tc>
          <w:tcPr>
            <w:tcW w:type="dxa" w:w="234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Vivienda progresiva</w:t>
            </w:r>
          </w:p>
        </w:tc>
        <w:tc>
          <w:tcPr>
            <w:tcW w:type="dxa" w:w="162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Artículo 13</w:t>
            </w:r>
          </w:p>
        </w:tc>
        <w:tc>
          <w:tcPr>
            <w:tcW w:type="dxa" w:w="504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La obra por etapas se limita a 40 m² por etapa, con un tope de 120 m², dos niveles como máximo y claros no mayores de 4 m.</w:t>
            </w:r>
          </w:p>
        </w:tc>
      </w:tr>
      <w:tr>
        <w:tc>
          <w:tcPr>
            <w:tcW w:type="dxa" w:w="234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Primera pieza de vivienda progresiva</w:t>
            </w:r>
          </w:p>
        </w:tc>
        <w:tc>
          <w:tcPr>
            <w:tcW w:type="dxa" w:w="162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Artículo 26</w:t>
            </w:r>
          </w:p>
        </w:tc>
        <w:tc>
          <w:tcPr>
            <w:tcW w:type="dxa" w:w="504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Se puede levantar sin licencia hasta 16 m² con sus servicios sanitarios, dando aviso por escrito y respetando uso de suelo, alineamiento y restricciones.</w:t>
            </w:r>
          </w:p>
        </w:tc>
      </w:tr>
      <w:tr>
        <w:tc>
          <w:tcPr>
            <w:tcW w:type="dxa" w:w="234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Fosa séptica o albañal</w:t>
            </w:r>
          </w:p>
        </w:tc>
        <w:tc>
          <w:tcPr>
            <w:tcW w:type="dxa" w:w="162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Artículo 26</w:t>
            </w:r>
          </w:p>
        </w:tc>
        <w:tc>
          <w:tcPr>
            <w:tcW w:type="dxa" w:w="504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Instalarlos en casa habitación no necesita licencia.</w:t>
            </w:r>
          </w:p>
        </w:tc>
      </w:tr>
      <w:tr>
        <w:tc>
          <w:tcPr>
            <w:tcW w:type="dxa" w:w="234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Apertura de claros</w:t>
            </w:r>
          </w:p>
        </w:tc>
        <w:tc>
          <w:tcPr>
            <w:tcW w:type="dxa" w:w="162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Artículo 26</w:t>
            </w:r>
          </w:p>
        </w:tc>
        <w:tc>
          <w:tcPr>
            <w:tcW w:type="dxa" w:w="504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Hasta 1.50 m como máximo en construcciones de hasta dos niveles, si no se afectan elementos estructurales.</w:t>
            </w:r>
          </w:p>
        </w:tc>
      </w:tr>
      <w:tr>
        <w:tc>
          <w:tcPr>
            <w:tcW w:type="dxa" w:w="234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Impermeabilización de azotea</w:t>
            </w:r>
          </w:p>
        </w:tc>
        <w:tc>
          <w:tcPr>
            <w:tcW w:type="dxa" w:w="162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Artículo 26</w:t>
            </w:r>
          </w:p>
        </w:tc>
        <w:tc>
          <w:tcPr>
            <w:tcW w:type="dxa" w:w="504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Entra como mantenimiento y no pide licencia mientras no se toquen elementos estructurales.</w:t>
            </w:r>
          </w:p>
        </w:tc>
      </w:tr>
      <w:tr>
        <w:tc>
          <w:tcPr>
            <w:tcW w:type="dxa" w:w="234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Demolición de cuarto aislado</w:t>
            </w:r>
          </w:p>
        </w:tc>
        <w:tc>
          <w:tcPr>
            <w:tcW w:type="dxa" w:w="162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Artículo 26</w:t>
            </w:r>
          </w:p>
        </w:tc>
        <w:tc>
          <w:tcPr>
            <w:tcW w:type="dxa" w:w="504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Se permite sin licencia hasta 16 m² si está desocupado y no se afecta la estabilidad del resto.</w:t>
            </w:r>
          </w:p>
        </w:tc>
      </w:tr>
      <w:tr>
        <w:tc>
          <w:tcPr>
            <w:tcW w:type="dxa" w:w="234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Autoconstrucción</w:t>
            </w:r>
          </w:p>
        </w:tc>
        <w:tc>
          <w:tcPr>
            <w:tcW w:type="dxa" w:w="162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Artículo 17</w:t>
            </w:r>
          </w:p>
        </w:tc>
        <w:tc>
          <w:tcPr>
            <w:tcW w:type="dxa" w:w="504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Quien construya o amplíe su casa hasta 60 m² en zona habitacional de alta densidad recibe asesoría gratuita con proyectos tipo y puede quedar exento del pago de derechos.</w:t>
            </w:r>
          </w:p>
        </w:tc>
      </w:tr>
      <w:tr>
        <w:tc>
          <w:tcPr>
            <w:tcW w:type="dxa" w:w="234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Vivienda mínima</w:t>
            </w:r>
          </w:p>
        </w:tc>
        <w:tc>
          <w:tcPr>
            <w:tcW w:type="dxa" w:w="162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Artículo 53</w:t>
            </w:r>
          </w:p>
        </w:tc>
        <w:tc>
          <w:tcPr>
            <w:tcW w:type="dxa" w:w="504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El diseño arquitectónico y estructural debe permitir que la casa crezca hasta integrar tres recámaras, dos baños, sala, comedor y cocina.</w:t>
            </w:r>
          </w:p>
        </w:tc>
      </w:tr>
      <w:tr>
        <w:tc>
          <w:tcPr>
            <w:tcW w:type="dxa" w:w="234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Recámara (área)</w:t>
            </w:r>
          </w:p>
        </w:tc>
        <w:tc>
          <w:tcPr>
            <w:tcW w:type="dxa" w:w="162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Artículo 54</w:t>
            </w:r>
          </w:p>
        </w:tc>
        <w:tc>
          <w:tcPr>
            <w:tcW w:type="dxa" w:w="504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Mínimo 7.00 m².</w:t>
            </w:r>
          </w:p>
        </w:tc>
      </w:tr>
      <w:tr>
        <w:tc>
          <w:tcPr>
            <w:tcW w:type="dxa" w:w="234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Recámara (lado)</w:t>
            </w:r>
          </w:p>
        </w:tc>
        <w:tc>
          <w:tcPr>
            <w:tcW w:type="dxa" w:w="162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Artículo 54</w:t>
            </w:r>
          </w:p>
        </w:tc>
        <w:tc>
          <w:tcPr>
            <w:tcW w:type="dxa" w:w="504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El lado libre no baja de 2.70 m.</w:t>
            </w:r>
          </w:p>
        </w:tc>
      </w:tr>
      <w:tr>
        <w:tc>
          <w:tcPr>
            <w:tcW w:type="dxa" w:w="234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Recámara (altura)</w:t>
            </w:r>
          </w:p>
        </w:tc>
        <w:tc>
          <w:tcPr>
            <w:tcW w:type="dxa" w:w="162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Artículo 54</w:t>
            </w:r>
          </w:p>
        </w:tc>
        <w:tc>
          <w:tcPr>
            <w:tcW w:type="dxa" w:w="504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Altura libre mínima de 2.50 m.</w:t>
            </w:r>
          </w:p>
        </w:tc>
      </w:tr>
      <w:tr>
        <w:tc>
          <w:tcPr>
            <w:tcW w:type="dxa" w:w="234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Alcoba (área)</w:t>
            </w:r>
          </w:p>
        </w:tc>
        <w:tc>
          <w:tcPr>
            <w:tcW w:type="dxa" w:w="162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Artículo 54</w:t>
            </w:r>
          </w:p>
        </w:tc>
        <w:tc>
          <w:tcPr>
            <w:tcW w:type="dxa" w:w="504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Mínimo 6.00 m².</w:t>
            </w:r>
          </w:p>
        </w:tc>
      </w:tr>
      <w:tr>
        <w:tc>
          <w:tcPr>
            <w:tcW w:type="dxa" w:w="234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Alcoba (lado)</w:t>
            </w:r>
          </w:p>
        </w:tc>
        <w:tc>
          <w:tcPr>
            <w:tcW w:type="dxa" w:w="162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Artículo 54</w:t>
            </w:r>
          </w:p>
        </w:tc>
        <w:tc>
          <w:tcPr>
            <w:tcW w:type="dxa" w:w="504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Lado mínimo de 2.00 m.</w:t>
            </w:r>
          </w:p>
        </w:tc>
      </w:tr>
      <w:tr>
        <w:tc>
          <w:tcPr>
            <w:tcW w:type="dxa" w:w="234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Alcoba (altura)</w:t>
            </w:r>
          </w:p>
        </w:tc>
        <w:tc>
          <w:tcPr>
            <w:tcW w:type="dxa" w:w="162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Artículo 54</w:t>
            </w:r>
          </w:p>
        </w:tc>
        <w:tc>
          <w:tcPr>
            <w:tcW w:type="dxa" w:w="504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Altura mínima de 2.50 m.</w:t>
            </w:r>
          </w:p>
        </w:tc>
      </w:tr>
      <w:tr>
        <w:tc>
          <w:tcPr>
            <w:tcW w:type="dxa" w:w="234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Estancia o sala (área)</w:t>
            </w:r>
          </w:p>
        </w:tc>
        <w:tc>
          <w:tcPr>
            <w:tcW w:type="dxa" w:w="162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Artículo 54</w:t>
            </w:r>
          </w:p>
        </w:tc>
        <w:tc>
          <w:tcPr>
            <w:tcW w:type="dxa" w:w="504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Mínimo 7.30 m².</w:t>
            </w:r>
          </w:p>
        </w:tc>
      </w:tr>
      <w:tr>
        <w:tc>
          <w:tcPr>
            <w:tcW w:type="dxa" w:w="234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Estancia (lado)</w:t>
            </w:r>
          </w:p>
        </w:tc>
        <w:tc>
          <w:tcPr>
            <w:tcW w:type="dxa" w:w="162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Artículo 54</w:t>
            </w:r>
          </w:p>
        </w:tc>
        <w:tc>
          <w:tcPr>
            <w:tcW w:type="dxa" w:w="504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Lado mínimo de 2.70 m.</w:t>
            </w:r>
          </w:p>
        </w:tc>
      </w:tr>
      <w:tr>
        <w:tc>
          <w:tcPr>
            <w:tcW w:type="dxa" w:w="234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Estancia (altura)</w:t>
            </w:r>
          </w:p>
        </w:tc>
        <w:tc>
          <w:tcPr>
            <w:tcW w:type="dxa" w:w="162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Artículo 54</w:t>
            </w:r>
          </w:p>
        </w:tc>
        <w:tc>
          <w:tcPr>
            <w:tcW w:type="dxa" w:w="504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Altura mínima de 2.50 m.</w:t>
            </w:r>
          </w:p>
        </w:tc>
      </w:tr>
      <w:tr>
        <w:tc>
          <w:tcPr>
            <w:tcW w:type="dxa" w:w="234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Comedor (área)</w:t>
            </w:r>
          </w:p>
        </w:tc>
        <w:tc>
          <w:tcPr>
            <w:tcW w:type="dxa" w:w="162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Artículo 54</w:t>
            </w:r>
          </w:p>
        </w:tc>
        <w:tc>
          <w:tcPr>
            <w:tcW w:type="dxa" w:w="504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Mínimo 6.30 m².</w:t>
            </w:r>
          </w:p>
        </w:tc>
      </w:tr>
      <w:tr>
        <w:tc>
          <w:tcPr>
            <w:tcW w:type="dxa" w:w="234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Comedor (lado)</w:t>
            </w:r>
          </w:p>
        </w:tc>
        <w:tc>
          <w:tcPr>
            <w:tcW w:type="dxa" w:w="162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Artículo 54</w:t>
            </w:r>
          </w:p>
        </w:tc>
        <w:tc>
          <w:tcPr>
            <w:tcW w:type="dxa" w:w="504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Lado mínimo de 2.70 m.</w:t>
            </w:r>
          </w:p>
        </w:tc>
      </w:tr>
      <w:tr>
        <w:tc>
          <w:tcPr>
            <w:tcW w:type="dxa" w:w="234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Comedor (altura)</w:t>
            </w:r>
          </w:p>
        </w:tc>
        <w:tc>
          <w:tcPr>
            <w:tcW w:type="dxa" w:w="162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Artículo 54</w:t>
            </w:r>
          </w:p>
        </w:tc>
        <w:tc>
          <w:tcPr>
            <w:tcW w:type="dxa" w:w="504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Altura mínima de 2.50 m.</w:t>
            </w:r>
          </w:p>
        </w:tc>
      </w:tr>
      <w:tr>
        <w:tc>
          <w:tcPr>
            <w:tcW w:type="dxa" w:w="234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Estancia-comedor integral (área)</w:t>
            </w:r>
          </w:p>
        </w:tc>
        <w:tc>
          <w:tcPr>
            <w:tcW w:type="dxa" w:w="162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Artículo 54</w:t>
            </w:r>
          </w:p>
        </w:tc>
        <w:tc>
          <w:tcPr>
            <w:tcW w:type="dxa" w:w="504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Cuando los dos espacios van integrados, el área mínima es de 13.60 m².</w:t>
            </w:r>
          </w:p>
        </w:tc>
      </w:tr>
      <w:tr>
        <w:tc>
          <w:tcPr>
            <w:tcW w:type="dxa" w:w="234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Estancia-comedor integral (lado)</w:t>
            </w:r>
          </w:p>
        </w:tc>
        <w:tc>
          <w:tcPr>
            <w:tcW w:type="dxa" w:w="162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Artículo 54</w:t>
            </w:r>
          </w:p>
        </w:tc>
        <w:tc>
          <w:tcPr>
            <w:tcW w:type="dxa" w:w="504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Lado mínimo de 2.70 m.</w:t>
            </w:r>
          </w:p>
        </w:tc>
      </w:tr>
      <w:tr>
        <w:tc>
          <w:tcPr>
            <w:tcW w:type="dxa" w:w="234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Estancia-comedor integral (altura)</w:t>
            </w:r>
          </w:p>
        </w:tc>
        <w:tc>
          <w:tcPr>
            <w:tcW w:type="dxa" w:w="162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Artículo 54</w:t>
            </w:r>
          </w:p>
        </w:tc>
        <w:tc>
          <w:tcPr>
            <w:tcW w:type="dxa" w:w="504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Altura mínima de 2.50 m.</w:t>
            </w:r>
          </w:p>
        </w:tc>
      </w:tr>
      <w:tr>
        <w:tc>
          <w:tcPr>
            <w:tcW w:type="dxa" w:w="234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Cocina (área)</w:t>
            </w:r>
          </w:p>
        </w:tc>
        <w:tc>
          <w:tcPr>
            <w:tcW w:type="dxa" w:w="162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Artículo 54</w:t>
            </w:r>
          </w:p>
        </w:tc>
        <w:tc>
          <w:tcPr>
            <w:tcW w:type="dxa" w:w="504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Mínimo 3.00 m².</w:t>
            </w:r>
          </w:p>
        </w:tc>
      </w:tr>
      <w:tr>
        <w:tc>
          <w:tcPr>
            <w:tcW w:type="dxa" w:w="234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Cocina (lado)</w:t>
            </w:r>
          </w:p>
        </w:tc>
        <w:tc>
          <w:tcPr>
            <w:tcW w:type="dxa" w:w="162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Artículo 54</w:t>
            </w:r>
          </w:p>
        </w:tc>
        <w:tc>
          <w:tcPr>
            <w:tcW w:type="dxa" w:w="504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Lado mínimo de 1.50 m. La observación “a” de la tabla aclara que esa dimensión de lado se refiere a la longitud de la cocina.</w:t>
            </w:r>
          </w:p>
        </w:tc>
      </w:tr>
      <w:tr>
        <w:tc>
          <w:tcPr>
            <w:tcW w:type="dxa" w:w="234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Cocina (altura)</w:t>
            </w:r>
          </w:p>
        </w:tc>
        <w:tc>
          <w:tcPr>
            <w:tcW w:type="dxa" w:w="162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Artículo 54</w:t>
            </w:r>
          </w:p>
        </w:tc>
        <w:tc>
          <w:tcPr>
            <w:tcW w:type="dxa" w:w="504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Altura mínima de 2.50 m.</w:t>
            </w:r>
          </w:p>
        </w:tc>
      </w:tr>
      <w:tr>
        <w:tc>
          <w:tcPr>
            <w:tcW w:type="dxa" w:w="234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Cocineta integrada (lado)</w:t>
            </w:r>
          </w:p>
        </w:tc>
        <w:tc>
          <w:tcPr>
            <w:tcW w:type="dxa" w:w="162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Artículo 54</w:t>
            </w:r>
          </w:p>
        </w:tc>
        <w:tc>
          <w:tcPr>
            <w:tcW w:type="dxa" w:w="504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Si la cocineta va integrada a la estancia-comedor, el lado mínimo es de 2.00 m.</w:t>
            </w:r>
          </w:p>
        </w:tc>
      </w:tr>
      <w:tr>
        <w:tc>
          <w:tcPr>
            <w:tcW w:type="dxa" w:w="234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Cocineta integrada (altura)</w:t>
            </w:r>
          </w:p>
        </w:tc>
        <w:tc>
          <w:tcPr>
            <w:tcW w:type="dxa" w:w="162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Artículo 54</w:t>
            </w:r>
          </w:p>
        </w:tc>
        <w:tc>
          <w:tcPr>
            <w:tcW w:type="dxa" w:w="504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Altura mínima de 2.50 m.</w:t>
            </w:r>
          </w:p>
        </w:tc>
      </w:tr>
      <w:tr>
        <w:tc>
          <w:tcPr>
            <w:tcW w:type="dxa" w:w="234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Cuarto de lavado (área)</w:t>
            </w:r>
          </w:p>
        </w:tc>
        <w:tc>
          <w:tcPr>
            <w:tcW w:type="dxa" w:w="162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Artículo 54</w:t>
            </w:r>
          </w:p>
        </w:tc>
        <w:tc>
          <w:tcPr>
            <w:tcW w:type="dxa" w:w="504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Mínimo 1.68 m².</w:t>
            </w:r>
          </w:p>
        </w:tc>
      </w:tr>
      <w:tr>
        <w:tc>
          <w:tcPr>
            <w:tcW w:type="dxa" w:w="234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Cuarto de lavado (lado)</w:t>
            </w:r>
          </w:p>
        </w:tc>
        <w:tc>
          <w:tcPr>
            <w:tcW w:type="dxa" w:w="162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Artículo 54</w:t>
            </w:r>
          </w:p>
        </w:tc>
        <w:tc>
          <w:tcPr>
            <w:tcW w:type="dxa" w:w="504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Lado mínimo de 1.40 m.</w:t>
            </w:r>
          </w:p>
        </w:tc>
      </w:tr>
      <w:tr>
        <w:tc>
          <w:tcPr>
            <w:tcW w:type="dxa" w:w="234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Cuarto de lavado (altura)</w:t>
            </w:r>
          </w:p>
        </w:tc>
        <w:tc>
          <w:tcPr>
            <w:tcW w:type="dxa" w:w="162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Artículo 54</w:t>
            </w:r>
          </w:p>
        </w:tc>
        <w:tc>
          <w:tcPr>
            <w:tcW w:type="dxa" w:w="504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Altura mínima de 2.30 m.</w:t>
            </w:r>
          </w:p>
        </w:tc>
      </w:tr>
      <w:tr>
        <w:tc>
          <w:tcPr>
            <w:tcW w:type="dxa" w:w="234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Cuarto de aseo y despensa</w:t>
            </w:r>
          </w:p>
        </w:tc>
        <w:tc>
          <w:tcPr>
            <w:tcW w:type="dxa" w:w="162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Artículo 54</w:t>
            </w:r>
          </w:p>
        </w:tc>
        <w:tc>
          <w:tcPr>
            <w:tcW w:type="dxa" w:w="504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La tabla sólo les fija altura mínima de 2.30 m; no marca área ni lado.</w:t>
            </w:r>
          </w:p>
        </w:tc>
      </w:tr>
      <w:tr>
        <w:tc>
          <w:tcPr>
            <w:tcW w:type="dxa" w:w="234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Baños y sanitarios (altura)</w:t>
            </w:r>
          </w:p>
        </w:tc>
        <w:tc>
          <w:tcPr>
            <w:tcW w:type="dxa" w:w="162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Artículo 54</w:t>
            </w:r>
          </w:p>
        </w:tc>
        <w:tc>
          <w:tcPr>
            <w:tcW w:type="dxa" w:w="504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La tabla sólo les fija altura mínima de 2.30 m; tampoco marca área ni lado.</w:t>
            </w:r>
          </w:p>
        </w:tc>
      </w:tr>
      <w:tr>
        <w:tc>
          <w:tcPr>
            <w:tcW w:type="dxa" w:w="234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Muebles del baño</w:t>
            </w:r>
          </w:p>
        </w:tc>
        <w:tc>
          <w:tcPr>
            <w:tcW w:type="dxa" w:w="162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Artículo 54</w:t>
            </w:r>
          </w:p>
        </w:tc>
        <w:tc>
          <w:tcPr>
            <w:tcW w:type="dxa" w:w="504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La observación “b” remite las dimensiones libres mínimas de los muebles sanitarios al Título Cuarto del Reglamento.</w:t>
            </w:r>
          </w:p>
        </w:tc>
      </w:tr>
      <w:tr>
        <w:tc>
          <w:tcPr>
            <w:tcW w:type="dxa" w:w="234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Área libre, predio menor de 500 m²</w:t>
            </w:r>
          </w:p>
        </w:tc>
        <w:tc>
          <w:tcPr>
            <w:tcW w:type="dxa" w:w="162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Artículo 55</w:t>
            </w:r>
          </w:p>
        </w:tc>
        <w:tc>
          <w:tcPr>
            <w:tcW w:type="dxa" w:w="504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Se deja sin construir el 20 por ciento.</w:t>
            </w:r>
          </w:p>
        </w:tc>
      </w:tr>
      <w:tr>
        <w:tc>
          <w:tcPr>
            <w:tcW w:type="dxa" w:w="234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Área libre, de 500 a 2,000 m²</w:t>
            </w:r>
          </w:p>
        </w:tc>
        <w:tc>
          <w:tcPr>
            <w:tcW w:type="dxa" w:w="162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Artículo 55</w:t>
            </w:r>
          </w:p>
        </w:tc>
        <w:tc>
          <w:tcPr>
            <w:tcW w:type="dxa" w:w="504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Se deja sin construir el 22.5 por ciento.</w:t>
            </w:r>
          </w:p>
        </w:tc>
      </w:tr>
      <w:tr>
        <w:tc>
          <w:tcPr>
            <w:tcW w:type="dxa" w:w="234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Área libre, de 2,000 a 3,500 m²</w:t>
            </w:r>
          </w:p>
        </w:tc>
        <w:tc>
          <w:tcPr>
            <w:tcW w:type="dxa" w:w="162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Artículo 55</w:t>
            </w:r>
          </w:p>
        </w:tc>
        <w:tc>
          <w:tcPr>
            <w:tcW w:type="dxa" w:w="504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Se deja sin construir el 25 por ciento.</w:t>
            </w:r>
          </w:p>
        </w:tc>
      </w:tr>
      <w:tr>
        <w:tc>
          <w:tcPr>
            <w:tcW w:type="dxa" w:w="234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Área libre, de 3,500 a 5,500 m²</w:t>
            </w:r>
          </w:p>
        </w:tc>
        <w:tc>
          <w:tcPr>
            <w:tcW w:type="dxa" w:w="162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Artículo 55</w:t>
            </w:r>
          </w:p>
        </w:tc>
        <w:tc>
          <w:tcPr>
            <w:tcW w:type="dxa" w:w="504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Se deja sin construir el 27.5 por ciento.</w:t>
            </w:r>
          </w:p>
        </w:tc>
      </w:tr>
      <w:tr>
        <w:tc>
          <w:tcPr>
            <w:tcW w:type="dxa" w:w="234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Área libre, más de 5,500 m²</w:t>
            </w:r>
          </w:p>
        </w:tc>
        <w:tc>
          <w:tcPr>
            <w:tcW w:type="dxa" w:w="162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Artículo 55</w:t>
            </w:r>
          </w:p>
        </w:tc>
        <w:tc>
          <w:tcPr>
            <w:tcW w:type="dxa" w:w="504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Se deja sin construir el 30 por ciento.</w:t>
            </w:r>
          </w:p>
        </w:tc>
      </w:tr>
      <w:tr>
        <w:tc>
          <w:tcPr>
            <w:tcW w:type="dxa" w:w="234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Pavimento del área libre</w:t>
            </w:r>
          </w:p>
        </w:tc>
        <w:tc>
          <w:tcPr>
            <w:tcW w:type="dxa" w:w="162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Artículo 55</w:t>
            </w:r>
          </w:p>
        </w:tc>
        <w:tc>
          <w:tcPr>
            <w:tcW w:type="dxa" w:w="504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Sólo se puede pavimentar con materiales que permitan la filtración del agua.</w:t>
            </w:r>
          </w:p>
        </w:tc>
      </w:tr>
      <w:tr>
        <w:tc>
          <w:tcPr>
            <w:tcW w:type="dxa" w:w="234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Arborización</w:t>
            </w:r>
          </w:p>
        </w:tc>
        <w:tc>
          <w:tcPr>
            <w:tcW w:type="dxa" w:w="162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Artículo 55</w:t>
            </w:r>
          </w:p>
        </w:tc>
        <w:tc>
          <w:tcPr>
            <w:tcW w:type="dxa" w:w="504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El área libre se arboriza conforme a la tabla de vegetación, con plantas de 1.5 m de altura mínima. En zonificación H4 corresponden 2 árboles por lote y hasta 30 por ciento del área libre pavimentada.</w:t>
            </w:r>
          </w:p>
        </w:tc>
      </w:tr>
      <w:tr>
        <w:tc>
          <w:tcPr>
            <w:tcW w:type="dxa" w:w="234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Ubicación de los árboles</w:t>
            </w:r>
          </w:p>
        </w:tc>
        <w:tc>
          <w:tcPr>
            <w:tcW w:type="dxa" w:w="162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Artículo 55</w:t>
            </w:r>
          </w:p>
        </w:tc>
        <w:tc>
          <w:tcPr>
            <w:tcW w:type="dxa" w:w="504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Van al frente del lote sobre la vía pública, sin obstruir el espacio peatonal.</w:t>
            </w:r>
          </w:p>
        </w:tc>
      </w:tr>
      <w:tr>
        <w:tc>
          <w:tcPr>
            <w:tcW w:type="dxa" w:w="234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Altura máxima del edificio</w:t>
            </w:r>
          </w:p>
        </w:tc>
        <w:tc>
          <w:tcPr>
            <w:tcW w:type="dxa" w:w="162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Artículo 56</w:t>
            </w:r>
          </w:p>
        </w:tc>
        <w:tc>
          <w:tcPr>
            <w:tcW w:type="dxa" w:w="504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Ningún punto puede estar más alto que dos veces su distancia mínima al plano vertical sobre el alineamiento de la acera opuesta.</w:t>
            </w:r>
          </w:p>
        </w:tc>
      </w:tr>
      <w:tr>
        <w:tc>
          <w:tcPr>
            <w:tcW w:type="dxa" w:w="234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Medición de la altura</w:t>
            </w:r>
          </w:p>
        </w:tc>
        <w:tc>
          <w:tcPr>
            <w:tcW w:type="dxa" w:w="162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Artículo 57</w:t>
            </w:r>
          </w:p>
        </w:tc>
        <w:tc>
          <w:tcPr>
            <w:tcW w:type="dxa" w:w="504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Se mide a partir de la cota media de la guarnición de la acera en el frente del predio.</w:t>
            </w:r>
          </w:p>
        </w:tc>
      </w:tr>
      <w:tr>
        <w:tc>
          <w:tcPr>
            <w:tcW w:type="dxa" w:w="234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Predio en esquina</w:t>
            </w:r>
          </w:p>
        </w:tc>
        <w:tc>
          <w:tcPr>
            <w:tcW w:type="dxa" w:w="162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Artículo 58</w:t>
            </w:r>
          </w:p>
        </w:tc>
        <w:tc>
          <w:tcPr>
            <w:tcW w:type="dxa" w:w="504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Sobre la calle angosta se puede usar la altura que corresponde a la calle ancha, hasta una distancia de dos veces el ancho de la calle angosta medida desde la esquina.</w:t>
            </w:r>
          </w:p>
        </w:tc>
      </w:tr>
      <w:tr>
        <w:tc>
          <w:tcPr>
            <w:tcW w:type="dxa" w:w="234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Restricción hacia el norte</w:t>
            </w:r>
          </w:p>
        </w:tc>
        <w:tc>
          <w:tcPr>
            <w:tcW w:type="dxa" w:w="162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Artículo 59</w:t>
            </w:r>
          </w:p>
        </w:tc>
        <w:tc>
          <w:tcPr>
            <w:tcW w:type="dxa" w:w="504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Si el límite es orientación norte y colinda con predios habitacionales, se deja una restricción del 15 por ciento de la altura máxima.</w:t>
            </w:r>
          </w:p>
        </w:tc>
      </w:tr>
      <w:tr>
        <w:tc>
          <w:tcPr>
            <w:tcW w:type="dxa" w:w="234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Separación por sismo</w:t>
            </w:r>
          </w:p>
        </w:tc>
        <w:tc>
          <w:tcPr>
            <w:tcW w:type="dxa" w:w="162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Artículo 60</w:t>
            </w:r>
          </w:p>
        </w:tc>
        <w:tc>
          <w:tcPr>
            <w:tcW w:type="dxa" w:w="504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Hay que verificar la separación con predios y edificaciones colindantes según el artículo de separaciones mínimas de diseño por sismo.</w:t>
            </w:r>
          </w:p>
        </w:tc>
      </w:tr>
      <w:tr>
        <w:tc>
          <w:tcPr>
            <w:tcW w:type="dxa" w:w="234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Barda del predio</w:t>
            </w:r>
          </w:p>
        </w:tc>
        <w:tc>
          <w:tcPr>
            <w:tcW w:type="dxa" w:w="162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Artículo 63</w:t>
            </w:r>
          </w:p>
        </w:tc>
        <w:tc>
          <w:tcPr>
            <w:tcW w:type="dxa" w:w="504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En cualquier edificación se construye una barda que delimite el predio, con altura mínima de un metro.</w:t>
            </w:r>
          </w:p>
        </w:tc>
      </w:tr>
      <w:tr>
        <w:tc>
          <w:tcPr>
            <w:tcW w:type="dxa" w:w="234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Tapajuntas</w:t>
            </w:r>
          </w:p>
        </w:tc>
        <w:tc>
          <w:tcPr>
            <w:tcW w:type="dxa" w:w="162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Artículo 63</w:t>
            </w:r>
          </w:p>
        </w:tc>
        <w:tc>
          <w:tcPr>
            <w:tcW w:type="dxa" w:w="504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Si ya existe construcción colindante se coloca tapajuntas y se resuelve la infiltración del agua.</w:t>
            </w:r>
          </w:p>
        </w:tc>
      </w:tr>
      <w:tr>
        <w:tc>
          <w:tcPr>
            <w:tcW w:type="dxa" w:w="234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Protección de la colindancia</w:t>
            </w:r>
          </w:p>
        </w:tc>
        <w:tc>
          <w:tcPr>
            <w:tcW w:type="dxa" w:w="162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Artículo 237</w:t>
            </w:r>
          </w:p>
        </w:tc>
        <w:tc>
          <w:tcPr>
            <w:tcW w:type="dxa" w:w="504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Las separaciones se protegen con tapajuntas o botaguas que impidan la entrada de agua y basura, y se garantiza el aislamiento acústico entre edificaciones.</w:t>
            </w:r>
          </w:p>
        </w:tc>
      </w:tr>
      <w:tr>
        <w:tc>
          <w:tcPr>
            <w:tcW w:type="dxa" w:w="234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Cajones, casa hasta 120 m²</w:t>
            </w:r>
          </w:p>
        </w:tc>
        <w:tc>
          <w:tcPr>
            <w:tcW w:type="dxa" w:w="162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Artículo 64</w:t>
            </w:r>
          </w:p>
        </w:tc>
        <w:tc>
          <w:tcPr>
            <w:tcW w:type="dxa" w:w="504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Un cajón por cada vivienda.</w:t>
            </w:r>
          </w:p>
        </w:tc>
      </w:tr>
      <w:tr>
        <w:tc>
          <w:tcPr>
            <w:tcW w:type="dxa" w:w="234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Cajones, casa de más de 120 hasta 250 m²</w:t>
            </w:r>
          </w:p>
        </w:tc>
        <w:tc>
          <w:tcPr>
            <w:tcW w:type="dxa" w:w="162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Artículo 64</w:t>
            </w:r>
          </w:p>
        </w:tc>
        <w:tc>
          <w:tcPr>
            <w:tcW w:type="dxa" w:w="504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Dos cajones por cada vivienda.</w:t>
            </w:r>
          </w:p>
        </w:tc>
      </w:tr>
      <w:tr>
        <w:tc>
          <w:tcPr>
            <w:tcW w:type="dxa" w:w="234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Cajones, casa de más de 300 m²</w:t>
            </w:r>
          </w:p>
        </w:tc>
        <w:tc>
          <w:tcPr>
            <w:tcW w:type="dxa" w:w="162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Artículo 64</w:t>
            </w:r>
          </w:p>
        </w:tc>
        <w:tc>
          <w:tcPr>
            <w:tcW w:type="dxa" w:w="504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Tres cajones por cada vivienda.</w:t>
            </w:r>
          </w:p>
        </w:tc>
      </w:tr>
      <w:tr>
        <w:tc>
          <w:tcPr>
            <w:tcW w:type="dxa" w:w="234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Cajones, plurifamiliar hasta 60 m²</w:t>
            </w:r>
          </w:p>
        </w:tc>
        <w:tc>
          <w:tcPr>
            <w:tcW w:type="dxa" w:w="162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Artículo 64</w:t>
            </w:r>
          </w:p>
        </w:tc>
        <w:tc>
          <w:tcPr>
            <w:tcW w:type="dxa" w:w="504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Un cajón por cada vivienda.</w:t>
            </w:r>
          </w:p>
        </w:tc>
      </w:tr>
      <w:tr>
        <w:tc>
          <w:tcPr>
            <w:tcW w:type="dxa" w:w="234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Cajones, plurifamiliar de 60 a 120 m²</w:t>
            </w:r>
          </w:p>
        </w:tc>
        <w:tc>
          <w:tcPr>
            <w:tcW w:type="dxa" w:w="162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Artículo 64</w:t>
            </w:r>
          </w:p>
        </w:tc>
        <w:tc>
          <w:tcPr>
            <w:tcW w:type="dxa" w:w="504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1.25 cajones por cada vivienda.</w:t>
            </w:r>
          </w:p>
        </w:tc>
      </w:tr>
      <w:tr>
        <w:tc>
          <w:tcPr>
            <w:tcW w:type="dxa" w:w="234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Cajones para empleados</w:t>
            </w:r>
          </w:p>
        </w:tc>
        <w:tc>
          <w:tcPr>
            <w:tcW w:type="dxa" w:w="162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Artículo 64</w:t>
            </w:r>
          </w:p>
        </w:tc>
        <w:tc>
          <w:tcPr>
            <w:tcW w:type="dxa" w:w="504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Al resultado de la tabla se le suma un incremento del 10 por ciento.</w:t>
            </w:r>
          </w:p>
        </w:tc>
      </w:tr>
      <w:tr>
        <w:tc>
          <w:tcPr>
            <w:tcW w:type="dxa" w:w="234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Medida del cajón</w:t>
            </w:r>
          </w:p>
        </w:tc>
        <w:tc>
          <w:tcPr>
            <w:tcW w:type="dxa" w:w="162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Artículo 65</w:t>
            </w:r>
          </w:p>
        </w:tc>
        <w:tc>
          <w:tcPr>
            <w:tcW w:type="dxa" w:w="504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5.50 por 2.70 metros.</w:t>
            </w:r>
          </w:p>
        </w:tc>
      </w:tr>
      <w:tr>
        <w:tc>
          <w:tcPr>
            <w:tcW w:type="dxa" w:w="234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Cajón en cordón</w:t>
            </w:r>
          </w:p>
        </w:tc>
        <w:tc>
          <w:tcPr>
            <w:tcW w:type="dxa" w:w="162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Artículo 65</w:t>
            </w:r>
          </w:p>
        </w:tc>
        <w:tc>
          <w:tcPr>
            <w:tcW w:type="dxa" w:w="504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7.00 por 2.40 metros, sin contar las áreas de circulación.</w:t>
            </w:r>
          </w:p>
        </w:tc>
      </w:tr>
      <w:tr>
        <w:tc>
          <w:tcPr>
            <w:tcW w:type="dxa" w:w="234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Cajón para personas con discapacidad</w:t>
            </w:r>
          </w:p>
        </w:tc>
        <w:tc>
          <w:tcPr>
            <w:tcW w:type="dxa" w:w="162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Artículo 65</w:t>
            </w:r>
          </w:p>
        </w:tc>
        <w:tc>
          <w:tcPr>
            <w:tcW w:type="dxa" w:w="504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Uno por cada 50 cajones o fracción, de 5.50 por 3.80 metros, ubicado lo más cerca posible de la entrada.</w:t>
            </w:r>
          </w:p>
        </w:tc>
      </w:tr>
      <w:tr>
        <w:tc>
          <w:tcPr>
            <w:tcW w:type="dxa" w:w="234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Señalización del cajón accesible</w:t>
            </w:r>
          </w:p>
        </w:tc>
        <w:tc>
          <w:tcPr>
            <w:tcW w:type="dxa" w:w="162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Artículo 65</w:t>
            </w:r>
          </w:p>
        </w:tc>
        <w:tc>
          <w:tcPr>
            <w:tcW w:type="dxa" w:w="504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Lleva franja de circulación señalizada, señales en poste y en piso, y tope para vehículos.</w:t>
            </w:r>
          </w:p>
        </w:tc>
      </w:tr>
      <w:tr>
        <w:tc>
          <w:tcPr>
            <w:tcW w:type="dxa" w:w="234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Circulación con cajones a 90 grados</w:t>
            </w:r>
          </w:p>
        </w:tc>
        <w:tc>
          <w:tcPr>
            <w:tcW w:type="dxa" w:w="162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Artículo 65</w:t>
            </w:r>
          </w:p>
        </w:tc>
        <w:tc>
          <w:tcPr>
            <w:tcW w:type="dxa" w:w="504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Ancho mínimo de 7.20 metros lineales.</w:t>
            </w:r>
          </w:p>
        </w:tc>
      </w:tr>
      <w:tr>
        <w:tc>
          <w:tcPr>
            <w:tcW w:type="dxa" w:w="234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Circulación a 30 y 45 grados</w:t>
            </w:r>
          </w:p>
        </w:tc>
        <w:tc>
          <w:tcPr>
            <w:tcW w:type="dxa" w:w="162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Artículo 65</w:t>
            </w:r>
          </w:p>
        </w:tc>
        <w:tc>
          <w:tcPr>
            <w:tcW w:type="dxa" w:w="504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En un sentido, mínimo 3.50 metros lineales.</w:t>
            </w:r>
          </w:p>
        </w:tc>
      </w:tr>
      <w:tr>
        <w:tc>
          <w:tcPr>
            <w:tcW w:type="dxa" w:w="234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Circulación a 60 grados</w:t>
            </w:r>
          </w:p>
        </w:tc>
        <w:tc>
          <w:tcPr>
            <w:tcW w:type="dxa" w:w="162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Artículo 65</w:t>
            </w:r>
          </w:p>
        </w:tc>
        <w:tc>
          <w:tcPr>
            <w:tcW w:type="dxa" w:w="504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Mínimo 4.50 metros lineales.</w:t>
            </w:r>
          </w:p>
        </w:tc>
      </w:tr>
      <w:tr>
        <w:tc>
          <w:tcPr>
            <w:tcW w:type="dxa" w:w="234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Circulación en dos sentidos</w:t>
            </w:r>
          </w:p>
        </w:tc>
        <w:tc>
          <w:tcPr>
            <w:tcW w:type="dxa" w:w="162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Artículo 65</w:t>
            </w:r>
          </w:p>
        </w:tc>
        <w:tc>
          <w:tcPr>
            <w:tcW w:type="dxa" w:w="504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Para acomodo a 30, 45 y 60 grados, mínimo 7.00 metros lineales.</w:t>
            </w:r>
          </w:p>
        </w:tc>
      </w:tr>
      <w:tr>
        <w:tc>
          <w:tcPr>
            <w:tcW w:type="dxa" w:w="234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Estacionamiento de servicio privado</w:t>
            </w:r>
          </w:p>
        </w:tc>
        <w:tc>
          <w:tcPr>
            <w:tcW w:type="dxa" w:w="162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Artículo 67</w:t>
            </w:r>
          </w:p>
        </w:tc>
        <w:tc>
          <w:tcPr>
            <w:tcW w:type="dxa" w:w="504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No se le exigen carriles separados, áreas de recepción y entrega de vehículos ni casetas de control.</w:t>
            </w:r>
          </w:p>
        </w:tc>
      </w:tr>
      <w:tr>
        <w:tc>
          <w:tcPr>
            <w:tcW w:type="dxa" w:w="234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Depósito de basura</w:t>
            </w:r>
          </w:p>
        </w:tc>
        <w:tc>
          <w:tcPr>
            <w:tcW w:type="dxa" w:w="162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Artículo 68</w:t>
            </w:r>
          </w:p>
        </w:tc>
        <w:tc>
          <w:tcPr>
            <w:tcW w:type="dxa" w:w="504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Se asigna un espacio ventilado y a prueba de roedores, colocado de forma que facilite el acceso del servicio de recolección.</w:t>
            </w:r>
          </w:p>
        </w:tc>
      </w:tr>
      <w:tr>
        <w:tc>
          <w:tcPr>
            <w:tcW w:type="dxa" w:w="234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Pasillo interior de la vivienda (ancho)</w:t>
            </w:r>
          </w:p>
        </w:tc>
        <w:tc>
          <w:tcPr>
            <w:tcW w:type="dxa" w:w="162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Artículo 70</w:t>
            </w:r>
          </w:p>
        </w:tc>
        <w:tc>
          <w:tcPr>
            <w:tcW w:type="dxa" w:w="504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Ancho mínimo de 0.90 m.</w:t>
            </w:r>
          </w:p>
        </w:tc>
      </w:tr>
      <w:tr>
        <w:tc>
          <w:tcPr>
            <w:tcW w:type="dxa" w:w="234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Pasillo interior de la vivienda (altura)</w:t>
            </w:r>
          </w:p>
        </w:tc>
        <w:tc>
          <w:tcPr>
            <w:tcW w:type="dxa" w:w="162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Artículo 70</w:t>
            </w:r>
          </w:p>
        </w:tc>
        <w:tc>
          <w:tcPr>
            <w:tcW w:type="dxa" w:w="504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Altura mínima de 2.30 m.</w:t>
            </w:r>
          </w:p>
        </w:tc>
      </w:tr>
      <w:tr>
        <w:tc>
          <w:tcPr>
            <w:tcW w:type="dxa" w:w="234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Pasillo común a dos o más viviendas (ancho)</w:t>
            </w:r>
          </w:p>
        </w:tc>
        <w:tc>
          <w:tcPr>
            <w:tcW w:type="dxa" w:w="162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Artículo 70</w:t>
            </w:r>
          </w:p>
        </w:tc>
        <w:tc>
          <w:tcPr>
            <w:tcW w:type="dxa" w:w="504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Ancho mínimo de 1.20 m.</w:t>
            </w:r>
          </w:p>
        </w:tc>
      </w:tr>
      <w:tr>
        <w:tc>
          <w:tcPr>
            <w:tcW w:type="dxa" w:w="234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Pasillo común a dos o más viviendas (altura)</w:t>
            </w:r>
          </w:p>
        </w:tc>
        <w:tc>
          <w:tcPr>
            <w:tcW w:type="dxa" w:w="162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Artículo 70</w:t>
            </w:r>
          </w:p>
        </w:tc>
        <w:tc>
          <w:tcPr>
            <w:tcW w:type="dxa" w:w="504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Altura mínima de 2.30 m.</w:t>
            </w:r>
          </w:p>
        </w:tc>
      </w:tr>
      <w:tr>
        <w:tc>
          <w:tcPr>
            <w:tcW w:type="dxa" w:w="234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Longitud del pasillo</w:t>
            </w:r>
          </w:p>
        </w:tc>
        <w:tc>
          <w:tcPr>
            <w:tcW w:type="dxa" w:w="162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Artículo 70</w:t>
            </w:r>
          </w:p>
        </w:tc>
        <w:tc>
          <w:tcPr>
            <w:tcW w:type="dxa" w:w="504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Estas medidas aplican cuando la circulación no excede de 6.00 m de longitud.</w:t>
            </w:r>
          </w:p>
        </w:tc>
      </w:tr>
      <w:tr>
        <w:tc>
          <w:tcPr>
            <w:tcW w:type="dxa" w:w="234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Distancia a una salida</w:t>
            </w:r>
          </w:p>
        </w:tc>
        <w:tc>
          <w:tcPr>
            <w:tcW w:type="dxa" w:w="162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Artículo 71</w:t>
            </w:r>
          </w:p>
        </w:tc>
        <w:tc>
          <w:tcPr>
            <w:tcW w:type="dxa" w:w="504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Desde cualquier punto interior hasta una puerta, circulación horizontal, escalera o rampa, máximo 30 metros medidos sobre la línea de recorrido.</w:t>
            </w:r>
          </w:p>
        </w:tc>
      </w:tr>
      <w:tr>
        <w:tc>
          <w:tcPr>
            <w:tcW w:type="dxa" w:w="234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Escalera o rampa</w:t>
            </w:r>
          </w:p>
        </w:tc>
        <w:tc>
          <w:tcPr>
            <w:tcW w:type="dxa" w:w="162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Artículo 74</w:t>
            </w:r>
          </w:p>
        </w:tc>
        <w:tc>
          <w:tcPr>
            <w:tcW w:type="dxa" w:w="504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Toda edificación comunica sus niveles con escaleras o rampas peatonales, aunque tenga elevador o montacargas.</w:t>
            </w:r>
          </w:p>
        </w:tc>
      </w:tr>
      <w:tr>
        <w:tc>
          <w:tcPr>
            <w:tcW w:type="dxa" w:w="234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Escalera privada con muro de un solo lado</w:t>
            </w:r>
          </w:p>
        </w:tc>
        <w:tc>
          <w:tcPr>
            <w:tcW w:type="dxa" w:w="162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Artículo 74</w:t>
            </w:r>
          </w:p>
        </w:tc>
        <w:tc>
          <w:tcPr>
            <w:tcW w:type="dxa" w:w="504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Ancho mínimo de 1.00 metro.</w:t>
            </w:r>
          </w:p>
        </w:tc>
      </w:tr>
      <w:tr>
        <w:tc>
          <w:tcPr>
            <w:tcW w:type="dxa" w:w="234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Escalera privada entre dos muros</w:t>
            </w:r>
          </w:p>
        </w:tc>
        <w:tc>
          <w:tcPr>
            <w:tcW w:type="dxa" w:w="162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Artículo 74</w:t>
            </w:r>
          </w:p>
        </w:tc>
        <w:tc>
          <w:tcPr>
            <w:tcW w:type="dxa" w:w="504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Ancho mínimo de 1.20 metros.</w:t>
            </w:r>
          </w:p>
        </w:tc>
      </w:tr>
      <w:tr>
        <w:tc>
          <w:tcPr>
            <w:tcW w:type="dxa" w:w="234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Escalera común a dos o más viviendas</w:t>
            </w:r>
          </w:p>
        </w:tc>
        <w:tc>
          <w:tcPr>
            <w:tcW w:type="dxa" w:w="162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Artículo 74</w:t>
            </w:r>
          </w:p>
        </w:tc>
        <w:tc>
          <w:tcPr>
            <w:tcW w:type="dxa" w:w="504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Ancho mínimo de 1.20 metros.</w:t>
            </w:r>
          </w:p>
        </w:tc>
      </w:tr>
      <w:tr>
        <w:tc>
          <w:tcPr>
            <w:tcW w:type="dxa" w:w="234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Ancho por número de usuarios</w:t>
            </w:r>
          </w:p>
        </w:tc>
        <w:tc>
          <w:tcPr>
            <w:tcW w:type="dxa" w:w="162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Artículo 74</w:t>
            </w:r>
          </w:p>
        </w:tc>
        <w:tc>
          <w:tcPr>
            <w:tcW w:type="dxa" w:w="504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El ancho se incrementa 0.60 m por cada 75 usuarios o fracción.</w:t>
            </w:r>
          </w:p>
        </w:tc>
      </w:tr>
      <w:tr>
        <w:tc>
          <w:tcPr>
            <w:tcW w:type="dxa" w:w="234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Peraltes entre descansos</w:t>
            </w:r>
          </w:p>
        </w:tc>
        <w:tc>
          <w:tcPr>
            <w:tcW w:type="dxa" w:w="162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Artículo 74</w:t>
            </w:r>
          </w:p>
        </w:tc>
        <w:tc>
          <w:tcPr>
            <w:tcW w:type="dxa" w:w="504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Máximo 16 peraltes en vivienda y 13 en edificios públicos.</w:t>
            </w:r>
          </w:p>
        </w:tc>
      </w:tr>
      <w:tr>
        <w:tc>
          <w:tcPr>
            <w:tcW w:type="dxa" w:w="234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Descanso</w:t>
            </w:r>
          </w:p>
        </w:tc>
        <w:tc>
          <w:tcPr>
            <w:tcW w:type="dxa" w:w="162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Artículo 74</w:t>
            </w:r>
          </w:p>
        </w:tc>
        <w:tc>
          <w:tcPr>
            <w:tcW w:type="dxa" w:w="504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Su ancho es cuando menos igual al ancho reglamentario de la escalera, y su longitud de 90 cm cuando la escalera es de una sola rampa.</w:t>
            </w:r>
          </w:p>
        </w:tc>
      </w:tr>
      <w:tr>
        <w:tc>
          <w:tcPr>
            <w:tcW w:type="dxa" w:w="234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Huella</w:t>
            </w:r>
          </w:p>
        </w:tc>
        <w:tc>
          <w:tcPr>
            <w:tcW w:type="dxa" w:w="162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Artículo 74</w:t>
            </w:r>
          </w:p>
        </w:tc>
        <w:tc>
          <w:tcPr>
            <w:tcW w:type="dxa" w:w="504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Ancho mínimo de 30 centímetros, medida entre las proyecciones verticales de los peraltes inmediatos.</w:t>
            </w:r>
          </w:p>
        </w:tc>
      </w:tr>
      <w:tr>
        <w:tc>
          <w:tcPr>
            <w:tcW w:type="dxa" w:w="234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Peralte</w:t>
            </w:r>
          </w:p>
        </w:tc>
        <w:tc>
          <w:tcPr>
            <w:tcW w:type="dxa" w:w="162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Artículo 74</w:t>
            </w:r>
          </w:p>
        </w:tc>
        <w:tc>
          <w:tcPr>
            <w:tcW w:type="dxa" w:w="504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Máximo 18 centímetros y mínimo 14 centímetros.</w:t>
            </w:r>
          </w:p>
        </w:tc>
      </w:tr>
      <w:tr>
        <w:tc>
          <w:tcPr>
            <w:tcW w:type="dxa" w:w="234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Peralte en escalera de servicio</w:t>
            </w:r>
          </w:p>
        </w:tc>
        <w:tc>
          <w:tcPr>
            <w:tcW w:type="dxa" w:w="162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Artículo 74</w:t>
            </w:r>
          </w:p>
        </w:tc>
        <w:tc>
          <w:tcPr>
            <w:tcW w:type="dxa" w:w="504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En escaleras de servicio de uso limitado el peralte puede llegar hasta 20 centímetros.</w:t>
            </w:r>
          </w:p>
        </w:tc>
      </w:tr>
      <w:tr>
        <w:tc>
          <w:tcPr>
            <w:tcW w:type="dxa" w:w="234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Relación huella-peralte</w:t>
            </w:r>
          </w:p>
        </w:tc>
        <w:tc>
          <w:tcPr>
            <w:tcW w:type="dxa" w:w="162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Artículo 74</w:t>
            </w:r>
          </w:p>
        </w:tc>
        <w:tc>
          <w:tcPr>
            <w:tcW w:type="dxa" w:w="504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Dos peraltes más una huella deben sumar cuando menos 61 centímetros y no más de 65.</w:t>
            </w:r>
          </w:p>
        </w:tc>
      </w:tr>
      <w:tr>
        <w:tc>
          <w:tcPr>
            <w:tcW w:type="dxa" w:w="234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Uniformidad del tramo</w:t>
            </w:r>
          </w:p>
        </w:tc>
        <w:tc>
          <w:tcPr>
            <w:tcW w:type="dxa" w:w="162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Artículo 74</w:t>
            </w:r>
          </w:p>
        </w:tc>
        <w:tc>
          <w:tcPr>
            <w:tcW w:type="dxa" w:w="504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Dentro de un mismo tramo la huella y el peralte conservan siempre las mismas dimensiones.</w:t>
            </w:r>
          </w:p>
        </w:tc>
      </w:tr>
      <w:tr>
        <w:tc>
          <w:tcPr>
            <w:tcW w:type="dxa" w:w="234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Escalera de caracol</w:t>
            </w:r>
          </w:p>
        </w:tc>
        <w:tc>
          <w:tcPr>
            <w:tcW w:type="dxa" w:w="162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Artículo 74</w:t>
            </w:r>
          </w:p>
        </w:tc>
        <w:tc>
          <w:tcPr>
            <w:tcW w:type="dxa" w:w="504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Diámetro mínimo de 1.20 metros.</w:t>
            </w:r>
          </w:p>
        </w:tc>
      </w:tr>
      <w:tr>
        <w:tc>
          <w:tcPr>
            <w:tcW w:type="dxa" w:w="234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Escalera compensada</w:t>
            </w:r>
          </w:p>
        </w:tc>
        <w:tc>
          <w:tcPr>
            <w:tcW w:type="dxa" w:w="162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Artículo 74</w:t>
            </w:r>
          </w:p>
        </w:tc>
        <w:tc>
          <w:tcPr>
            <w:tcW w:type="dxa" w:w="504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Huella mínima de 30 cm medida a 40 cm del barandal del lado interior, ancho máximo de 150 cm, y prohibida en edificaciones de más de cinco niveles.</w:t>
            </w:r>
          </w:p>
        </w:tc>
      </w:tr>
      <w:tr>
        <w:tc>
          <w:tcPr>
            <w:tcW w:type="dxa" w:w="234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Superficie del escalón</w:t>
            </w:r>
          </w:p>
        </w:tc>
        <w:tc>
          <w:tcPr>
            <w:tcW w:type="dxa" w:w="162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Artículo 74</w:t>
            </w:r>
          </w:p>
        </w:tc>
        <w:tc>
          <w:tcPr>
            <w:tcW w:type="dxa" w:w="504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Los escalones deben ser firmes y con superficie antiderrapante.</w:t>
            </w:r>
          </w:p>
        </w:tc>
      </w:tr>
      <w:tr>
        <w:tc>
          <w:tcPr>
            <w:tcW w:type="dxa" w:w="234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Nariz del escalón</w:t>
            </w:r>
          </w:p>
        </w:tc>
        <w:tc>
          <w:tcPr>
            <w:tcW w:type="dxa" w:w="162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Artículo 74</w:t>
            </w:r>
          </w:p>
        </w:tc>
        <w:tc>
          <w:tcPr>
            <w:tcW w:type="dxa" w:w="504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No se permiten aristas vivas ni narices sobresalientes; la arista va redondeada.</w:t>
            </w:r>
          </w:p>
        </w:tc>
      </w:tr>
      <w:tr>
        <w:tc>
          <w:tcPr>
            <w:tcW w:type="dxa" w:w="234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Pasamanos</w:t>
            </w:r>
          </w:p>
        </w:tc>
        <w:tc>
          <w:tcPr>
            <w:tcW w:type="dxa" w:w="162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Artículo 74</w:t>
            </w:r>
          </w:p>
        </w:tc>
        <w:tc>
          <w:tcPr>
            <w:tcW w:type="dxa" w:w="504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Se colocan a 75 y 90 centímetros de altura, volados 10 centímetros en los extremos.</w:t>
            </w:r>
          </w:p>
        </w:tc>
      </w:tr>
      <w:tr>
        <w:tc>
          <w:tcPr>
            <w:tcW w:type="dxa" w:w="234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Barandal</w:t>
            </w:r>
          </w:p>
        </w:tc>
        <w:tc>
          <w:tcPr>
            <w:tcW w:type="dxa" w:w="162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Artículo 74</w:t>
            </w:r>
          </w:p>
        </w:tc>
        <w:tc>
          <w:tcPr>
            <w:tcW w:type="dxa" w:w="504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En edificios públicos va cuando menos en uno de los lados, a 90 cm medidos desde la nariz del escalón y diseñado para que no pasen niños entre él.</w:t>
            </w:r>
          </w:p>
        </w:tc>
      </w:tr>
      <w:tr>
        <w:tc>
          <w:tcPr>
            <w:tcW w:type="dxa" w:w="234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Altura libre bajo la escalera</w:t>
            </w:r>
          </w:p>
        </w:tc>
        <w:tc>
          <w:tcPr>
            <w:tcW w:type="dxa" w:w="162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Artículo 74</w:t>
            </w:r>
          </w:p>
        </w:tc>
        <w:tc>
          <w:tcPr>
            <w:tcW w:type="dxa" w:w="504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En las circulaciones bajo la escalera se coloca una barrera a partir de donde la altura libre baja de 1.90 metros.</w:t>
            </w:r>
          </w:p>
        </w:tc>
      </w:tr>
      <w:tr>
        <w:tc>
          <w:tcPr>
            <w:tcW w:type="dxa" w:w="234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Área de aproximación</w:t>
            </w:r>
          </w:p>
        </w:tc>
        <w:tc>
          <w:tcPr>
            <w:tcW w:type="dxa" w:w="162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Artículo 74</w:t>
            </w:r>
          </w:p>
        </w:tc>
        <w:tc>
          <w:tcPr>
            <w:tcW w:type="dxa" w:w="504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Se marca un área de 75 centímetros como mínimo, con cambio de textura en el piso.</w:t>
            </w:r>
          </w:p>
        </w:tc>
      </w:tr>
      <w:tr>
        <w:tc>
          <w:tcPr>
            <w:tcW w:type="dxa" w:w="234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Puerta en cubo cerrado</w:t>
            </w:r>
          </w:p>
        </w:tc>
        <w:tc>
          <w:tcPr>
            <w:tcW w:type="dxa" w:w="162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Artículo 74</w:t>
            </w:r>
          </w:p>
        </w:tc>
        <w:tc>
          <w:tcPr>
            <w:tcW w:type="dxa" w:w="504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Las escaleras en cubo cerrado de cinco niveles o más llevan puertas hacia los vestíbulos en cada nivel.</w:t>
            </w:r>
          </w:p>
        </w:tc>
      </w:tr>
      <w:tr>
        <w:tc>
          <w:tcPr>
            <w:tcW w:type="dxa" w:w="234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Rampa peatonal</w:t>
            </w:r>
          </w:p>
        </w:tc>
        <w:tc>
          <w:tcPr>
            <w:tcW w:type="dxa" w:w="162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Artículo 75</w:t>
            </w:r>
          </w:p>
        </w:tc>
        <w:tc>
          <w:tcPr>
            <w:tcW w:type="dxa" w:w="504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Pendiente máxima de 8 por ciento, pavimento antiderrapante y barandal cuando menos en uno de sus lados.</w:t>
            </w:r>
          </w:p>
        </w:tc>
      </w:tr>
      <w:tr>
        <w:tc>
          <w:tcPr>
            <w:tcW w:type="dxa" w:w="234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Ancho de la rampa</w:t>
            </w:r>
          </w:p>
        </w:tc>
        <w:tc>
          <w:tcPr>
            <w:tcW w:type="dxa" w:w="162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Artículo 75</w:t>
            </w:r>
          </w:p>
        </w:tc>
        <w:tc>
          <w:tcPr>
            <w:tcW w:type="dxa" w:w="504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Se aplican los mismos anchos mínimos que se establecen para las escaleras.</w:t>
            </w:r>
          </w:p>
        </w:tc>
      </w:tr>
      <w:tr>
        <w:tc>
          <w:tcPr>
            <w:tcW w:type="dxa" w:w="234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Descansos de rampa accesible</w:t>
            </w:r>
          </w:p>
        </w:tc>
        <w:tc>
          <w:tcPr>
            <w:tcW w:type="dxa" w:w="162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Artículo 76</w:t>
            </w:r>
          </w:p>
        </w:tc>
        <w:tc>
          <w:tcPr>
            <w:tcW w:type="dxa" w:w="504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La longitud máxima entre descansos es de 4.50 m, y el descanso mide cuando menos lo que la rampa, nunca menos de 1.20 m.</w:t>
            </w:r>
          </w:p>
        </w:tc>
      </w:tr>
      <w:tr>
        <w:tc>
          <w:tcPr>
            <w:tcW w:type="dxa" w:w="234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Bordes y pasamanos de rampa accesible</w:t>
            </w:r>
          </w:p>
        </w:tc>
        <w:tc>
          <w:tcPr>
            <w:tcW w:type="dxa" w:w="162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Artículo 76</w:t>
            </w:r>
          </w:p>
        </w:tc>
        <w:tc>
          <w:tcPr>
            <w:tcW w:type="dxa" w:w="504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Pendiente máxima de 8 por ciento, superficie antiderrapante, borde de protección de 5 por 5 centímetros y pasamanos a 75 y 90 cm, volados 30 cm en los extremos.</w:t>
            </w:r>
          </w:p>
        </w:tc>
      </w:tr>
      <w:tr>
        <w:tc>
          <w:tcPr>
            <w:tcW w:type="dxa" w:w="234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Altura libre bajo la rampa</w:t>
            </w:r>
          </w:p>
        </w:tc>
        <w:tc>
          <w:tcPr>
            <w:tcW w:type="dxa" w:w="162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Artículo 76</w:t>
            </w:r>
          </w:p>
        </w:tc>
        <w:tc>
          <w:tcPr>
            <w:tcW w:type="dxa" w:w="504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Se coloca una barrera a partir de donde queden menos de 1.90 metros de altura libre.</w:t>
            </w:r>
          </w:p>
        </w:tc>
      </w:tr>
      <w:tr>
        <w:tc>
          <w:tcPr>
            <w:tcW w:type="dxa" w:w="234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Altura de las puertas</w:t>
            </w:r>
          </w:p>
        </w:tc>
        <w:tc>
          <w:tcPr>
            <w:tcW w:type="dxa" w:w="162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Artículo 77</w:t>
            </w:r>
          </w:p>
        </w:tc>
        <w:tc>
          <w:tcPr>
            <w:tcW w:type="dxa" w:w="504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Las puertas de acceso, intercomunicación y salida llevan 2.03 metros de altura cuando menos.</w:t>
            </w:r>
          </w:p>
        </w:tc>
      </w:tr>
      <w:tr>
        <w:tc>
          <w:tcPr>
            <w:tcW w:type="dxa" w:w="234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Puerta de acceso principal</w:t>
            </w:r>
          </w:p>
        </w:tc>
        <w:tc>
          <w:tcPr>
            <w:tcW w:type="dxa" w:w="162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Artículo 77</w:t>
            </w:r>
          </w:p>
        </w:tc>
        <w:tc>
          <w:tcPr>
            <w:tcW w:type="dxa" w:w="504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Ancho mínimo de 0.90 metros.</w:t>
            </w:r>
          </w:p>
        </w:tc>
      </w:tr>
      <w:tr>
        <w:tc>
          <w:tcPr>
            <w:tcW w:type="dxa" w:w="234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Puerta de locales habitables</w:t>
            </w:r>
          </w:p>
        </w:tc>
        <w:tc>
          <w:tcPr>
            <w:tcW w:type="dxa" w:w="162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Artículo 77</w:t>
            </w:r>
          </w:p>
        </w:tc>
        <w:tc>
          <w:tcPr>
            <w:tcW w:type="dxa" w:w="504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Ancho mínimo de 0.75 m.</w:t>
            </w:r>
          </w:p>
        </w:tc>
      </w:tr>
      <w:tr>
        <w:tc>
          <w:tcPr>
            <w:tcW w:type="dxa" w:w="234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Puerta de cocina</w:t>
            </w:r>
          </w:p>
        </w:tc>
        <w:tc>
          <w:tcPr>
            <w:tcW w:type="dxa" w:w="162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Artículo 77</w:t>
            </w:r>
          </w:p>
        </w:tc>
        <w:tc>
          <w:tcPr>
            <w:tcW w:type="dxa" w:w="504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Ancho mínimo de 0.75 m.</w:t>
            </w:r>
          </w:p>
        </w:tc>
      </w:tr>
      <w:tr>
        <w:tc>
          <w:tcPr>
            <w:tcW w:type="dxa" w:w="234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Puerta de locales complementarios</w:t>
            </w:r>
          </w:p>
        </w:tc>
        <w:tc>
          <w:tcPr>
            <w:tcW w:type="dxa" w:w="162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Artículo 77</w:t>
            </w:r>
          </w:p>
        </w:tc>
        <w:tc>
          <w:tcPr>
            <w:tcW w:type="dxa" w:w="504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Ancho mínimo de 0.60 m.</w:t>
            </w:r>
          </w:p>
        </w:tc>
      </w:tr>
      <w:tr>
        <w:tc>
          <w:tcPr>
            <w:tcW w:type="dxa" w:w="234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Puerta hacia la vía pública</w:t>
            </w:r>
          </w:p>
        </w:tc>
        <w:tc>
          <w:tcPr>
            <w:tcW w:type="dxa" w:w="162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Artículo 77</w:t>
            </w:r>
          </w:p>
        </w:tc>
        <w:tc>
          <w:tcPr>
            <w:tcW w:type="dxa" w:w="504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Su anchura total es por lo menos 1.25 veces la suma de las anchuras reglamentarias de las puertas entre vestíbulo y salas.</w:t>
            </w:r>
          </w:p>
        </w:tc>
      </w:tr>
      <w:tr>
        <w:tc>
          <w:tcPr>
            <w:tcW w:type="dxa" w:w="234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Iluminación natural</w:t>
            </w:r>
          </w:p>
        </w:tc>
        <w:tc>
          <w:tcPr>
            <w:tcW w:type="dxa" w:w="162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Artículo 83</w:t>
            </w:r>
          </w:p>
        </w:tc>
        <w:tc>
          <w:tcPr>
            <w:tcW w:type="dxa" w:w="504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Los locales habitables y la cocina doméstica se iluminan con ventanas que den directamente a la vía pública, terrazas, azoteas, superficies descubiertas o patios.</w:t>
            </w:r>
          </w:p>
        </w:tc>
      </w:tr>
      <w:tr>
        <w:tc>
          <w:tcPr>
            <w:tcW w:type="dxa" w:w="234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Ventanas hacia la colindancia</w:t>
            </w:r>
          </w:p>
        </w:tc>
        <w:tc>
          <w:tcPr>
            <w:tcW w:type="dxa" w:w="162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Artículo 83</w:t>
            </w:r>
          </w:p>
        </w:tc>
        <w:tc>
          <w:tcPr>
            <w:tcW w:type="dxa" w:w="504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Por ningún motivo se permiten, salvo lo que autoriza el artículo 86.</w:t>
            </w:r>
          </w:p>
        </w:tc>
      </w:tr>
      <w:tr>
        <w:tc>
          <w:tcPr>
            <w:tcW w:type="dxa" w:w="234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Área de ventana</w:t>
            </w:r>
          </w:p>
        </w:tc>
        <w:tc>
          <w:tcPr>
            <w:tcW w:type="dxa" w:w="162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Artículo 84</w:t>
            </w:r>
          </w:p>
        </w:tc>
        <w:tc>
          <w:tcPr>
            <w:tcW w:type="dxa" w:w="504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No será inferior al 10 por ciento de la superficie del local.</w:t>
            </w:r>
          </w:p>
        </w:tc>
      </w:tr>
      <w:tr>
        <w:tc>
          <w:tcPr>
            <w:tcW w:type="dxa" w:w="234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Ventanas con distintas orientaciones</w:t>
            </w:r>
          </w:p>
        </w:tc>
        <w:tc>
          <w:tcPr>
            <w:tcW w:type="dxa" w:w="162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Artículo 84</w:t>
            </w:r>
          </w:p>
        </w:tc>
        <w:tc>
          <w:tcPr>
            <w:tcW w:type="dxa" w:w="504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Se divide la superficie del local entre el número de ventanas y a ese resultado se le aplica el porcentaje mínimo.</w:t>
            </w:r>
          </w:p>
        </w:tc>
      </w:tr>
      <w:tr>
        <w:tc>
          <w:tcPr>
            <w:tcW w:type="dxa" w:w="234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Ventana bajo marquesina o volado</w:t>
            </w:r>
          </w:p>
        </w:tc>
        <w:tc>
          <w:tcPr>
            <w:tcW w:type="dxa" w:w="162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Artículo 84</w:t>
            </w:r>
          </w:p>
        </w:tc>
        <w:tc>
          <w:tcPr>
            <w:tcW w:type="dxa" w:w="504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Se considera iluminada naturalmente si queda remetida como máximo el equivalente a la altura de piso a techo del local.</w:t>
            </w:r>
          </w:p>
        </w:tc>
      </w:tr>
      <w:tr>
        <w:tc>
          <w:tcPr>
            <w:tcW w:type="dxa" w:w="234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Domos y tragaluces</w:t>
            </w:r>
          </w:p>
        </w:tc>
        <w:tc>
          <w:tcPr>
            <w:tcW w:type="dxa" w:w="162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Artículo 85</w:t>
            </w:r>
          </w:p>
        </w:tc>
        <w:tc>
          <w:tcPr>
            <w:tcW w:type="dxa" w:w="504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Se permiten para iluminar baños, cocinas no domésticas, locales de trabajo, almacenamiento, circulaciones y servicios.</w:t>
            </w:r>
          </w:p>
        </w:tc>
      </w:tr>
      <w:tr>
        <w:tc>
          <w:tcPr>
            <w:tcW w:type="dxa" w:w="234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Medida del domo o tragaluz</w:t>
            </w:r>
          </w:p>
        </w:tc>
        <w:tc>
          <w:tcPr>
            <w:tcW w:type="dxa" w:w="162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Artículo 85</w:t>
            </w:r>
          </w:p>
        </w:tc>
        <w:tc>
          <w:tcPr>
            <w:tcW w:type="dxa" w:w="504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Se toma el 25 por ciento de la superficie de la ventana requerida, pero nunca menos de 45 por 45 centímetros.</w:t>
            </w:r>
          </w:p>
        </w:tc>
      </w:tr>
      <w:tr>
        <w:tc>
          <w:tcPr>
            <w:tcW w:type="dxa" w:w="234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Bloque de vidrio en colindancia</w:t>
            </w:r>
          </w:p>
        </w:tc>
        <w:tc>
          <w:tcPr>
            <w:tcW w:type="dxa" w:w="162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Artículo 86</w:t>
            </w:r>
          </w:p>
        </w:tc>
        <w:tc>
          <w:tcPr>
            <w:tcW w:type="dxa" w:w="504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Se permite iluminar con bloques de vidrio prismático traslúcido a partir de 7.20 metros sobre el nivel de banqueta, sin que sustituya las ventanas y domos mínimos.</w:t>
            </w:r>
          </w:p>
        </w:tc>
      </w:tr>
      <w:tr>
        <w:tc>
          <w:tcPr>
            <w:tcW w:type="dxa" w:w="234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Iluminación artificial</w:t>
            </w:r>
          </w:p>
        </w:tc>
        <w:tc>
          <w:tcPr>
            <w:tcW w:type="dxa" w:w="162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Artículo 87</w:t>
            </w:r>
          </w:p>
        </w:tc>
        <w:tc>
          <w:tcPr>
            <w:tcW w:type="dxa" w:w="504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Todos los locales habitables llevan iluminación nocturna artificial conforme al capítulo de instalaciones eléctricas.</w:t>
            </w:r>
          </w:p>
        </w:tc>
      </w:tr>
      <w:tr>
        <w:tc>
          <w:tcPr>
            <w:tcW w:type="dxa" w:w="234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Vidrios de piso a techo</w:t>
            </w:r>
          </w:p>
        </w:tc>
        <w:tc>
          <w:tcPr>
            <w:tcW w:type="dxa" w:w="162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Artículo 92</w:t>
            </w:r>
          </w:p>
        </w:tc>
        <w:tc>
          <w:tcPr>
            <w:tcW w:type="dxa" w:w="504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Llevan señales visuales que informen que están ahí y protección para evitar que la gente choque contra ellos.</w:t>
            </w:r>
          </w:p>
        </w:tc>
      </w:tr>
      <w:tr>
        <w:tc>
          <w:tcPr>
            <w:tcW w:type="dxa" w:w="234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Patio de iluminación y ventilación</w:t>
            </w:r>
          </w:p>
        </w:tc>
        <w:tc>
          <w:tcPr>
            <w:tcW w:type="dxa" w:w="162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Artículo 87</w:t>
            </w:r>
          </w:p>
        </w:tc>
        <w:tc>
          <w:tcPr>
            <w:tcW w:type="dxa" w:w="504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Su dimensión nunca será menor de 2.50 metros.</w:t>
            </w:r>
          </w:p>
        </w:tc>
      </w:tr>
      <w:tr>
        <w:tc>
          <w:tcPr>
            <w:tcW w:type="dxa" w:w="234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Patio para locales habitables</w:t>
            </w:r>
          </w:p>
        </w:tc>
        <w:tc>
          <w:tcPr>
            <w:tcW w:type="dxa" w:w="162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Artículo 87</w:t>
            </w:r>
          </w:p>
        </w:tc>
        <w:tc>
          <w:tcPr>
            <w:tcW w:type="dxa" w:w="504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La dimensión mínima es un tercio de la altura de los paramentos del patio.</w:t>
            </w:r>
          </w:p>
        </w:tc>
      </w:tr>
      <w:tr>
        <w:tc>
          <w:tcPr>
            <w:tcW w:type="dxa" w:w="234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Patio para locales complementarios</w:t>
            </w:r>
          </w:p>
        </w:tc>
        <w:tc>
          <w:tcPr>
            <w:tcW w:type="dxa" w:w="162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Artículo 87</w:t>
            </w:r>
          </w:p>
        </w:tc>
        <w:tc>
          <w:tcPr>
            <w:tcW w:type="dxa" w:w="504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La dimensión mínima es un cuarto de la altura de los paramentos.</w:t>
            </w:r>
          </w:p>
        </w:tc>
      </w:tr>
      <w:tr>
        <w:tc>
          <w:tcPr>
            <w:tcW w:type="dxa" w:w="234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Patio para cualquier otro local</w:t>
            </w:r>
          </w:p>
        </w:tc>
        <w:tc>
          <w:tcPr>
            <w:tcW w:type="dxa" w:w="162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Artículo 87</w:t>
            </w:r>
          </w:p>
        </w:tc>
        <w:tc>
          <w:tcPr>
            <w:tcW w:type="dxa" w:w="504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La dimensión mínima es un quinto de la altura de los paramentos.</w:t>
            </w:r>
          </w:p>
        </w:tc>
      </w:tr>
      <w:tr>
        <w:tc>
          <w:tcPr>
            <w:tcW w:type="dxa" w:w="234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Paramentos de distinta altura</w:t>
            </w:r>
          </w:p>
        </w:tc>
        <w:tc>
          <w:tcPr>
            <w:tcW w:type="dxa" w:w="162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Artículo 87</w:t>
            </w:r>
          </w:p>
        </w:tc>
        <w:tc>
          <w:tcPr>
            <w:tcW w:type="dxa" w:w="504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Cuando las alturas son variables se toma el promedio de las dos más altas.</w:t>
            </w:r>
          </w:p>
        </w:tc>
      </w:tr>
      <w:tr>
        <w:tc>
          <w:tcPr>
            <w:tcW w:type="dxa" w:w="234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Tolerancia del patio</w:t>
            </w:r>
          </w:p>
        </w:tc>
        <w:tc>
          <w:tcPr>
            <w:tcW w:type="dxa" w:w="162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Artículo 87</w:t>
            </w:r>
          </w:p>
        </w:tc>
        <w:tc>
          <w:tcPr>
            <w:tcW w:type="dxa" w:w="504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Se puede reducir hasta una quinta parte una de las dimensiones mínimas, siempre que la opuesta tenga una quinta parte más de lo que le corresponde.</w:t>
            </w:r>
          </w:p>
        </w:tc>
      </w:tr>
      <w:tr>
        <w:tc>
          <w:tcPr>
            <w:tcW w:type="dxa" w:w="234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Patio abierto a la vía pública</w:t>
            </w:r>
          </w:p>
        </w:tc>
        <w:tc>
          <w:tcPr>
            <w:tcW w:type="dxa" w:w="162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Artículo 87</w:t>
            </w:r>
          </w:p>
        </w:tc>
        <w:tc>
          <w:tcPr>
            <w:tcW w:type="dxa" w:w="504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Se reduce hasta la mitad la dimensión mínima en los lados perpendiculares a la vía pública.</w:t>
            </w:r>
          </w:p>
        </w:tc>
      </w:tr>
      <w:tr>
        <w:tc>
          <w:tcPr>
            <w:tcW w:type="dxa" w:w="234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Descuento de altura en el patio</w:t>
            </w:r>
          </w:p>
        </w:tc>
        <w:tc>
          <w:tcPr>
            <w:tcW w:type="dxa" w:w="162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Artículo 87</w:t>
            </w:r>
          </w:p>
        </w:tc>
        <w:tc>
          <w:tcPr>
            <w:tcW w:type="dxa" w:w="504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Del total de los paramentos se descuentan la planta baja y los niveles inmediatos superiores que sirvan de vestíbulo, estacionamiento o locales de servicio.</w:t>
            </w:r>
          </w:p>
        </w:tc>
      </w:tr>
      <w:tr>
        <w:tc>
          <w:tcPr>
            <w:tcW w:type="dxa" w:w="234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Forma del patio</w:t>
            </w:r>
          </w:p>
        </w:tc>
        <w:tc>
          <w:tcPr>
            <w:tcW w:type="dxa" w:w="162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Artículo 87</w:t>
            </w:r>
          </w:p>
        </w:tc>
        <w:tc>
          <w:tcPr>
            <w:tcW w:type="dxa" w:w="504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Lo que dice el artículo aplica a patios de base cuadrada o rectangular.</w:t>
            </w:r>
          </w:p>
        </w:tc>
      </w:tr>
      <w:tr>
        <w:tc>
          <w:tcPr>
            <w:tcW w:type="dxa" w:w="234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Ventilación natural</w:t>
            </w:r>
          </w:p>
        </w:tc>
        <w:tc>
          <w:tcPr>
            <w:tcW w:type="dxa" w:w="162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Artículo 88</w:t>
            </w:r>
          </w:p>
        </w:tc>
        <w:tc>
          <w:tcPr>
            <w:tcW w:type="dxa" w:w="504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El área de abertura de ventilación no será inferior al 5 por ciento del área del local.</w:t>
            </w:r>
          </w:p>
        </w:tc>
      </w:tr>
      <w:tr>
        <w:tc>
          <w:tcPr>
            <w:tcW w:type="dxa" w:w="234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Sanitario doméstico</w:t>
            </w:r>
          </w:p>
        </w:tc>
        <w:tc>
          <w:tcPr>
            <w:tcW w:type="dxa" w:w="162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Artículo 89</w:t>
            </w:r>
          </w:p>
        </w:tc>
        <w:tc>
          <w:tcPr>
            <w:tcW w:type="dxa" w:w="504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Si se ventila con medios artificiales, 6 cambios de aire por hora.</w:t>
            </w:r>
          </w:p>
        </w:tc>
      </w:tr>
      <w:tr>
        <w:tc>
          <w:tcPr>
            <w:tcW w:type="dxa" w:w="234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Cocina doméstica</w:t>
            </w:r>
          </w:p>
        </w:tc>
        <w:tc>
          <w:tcPr>
            <w:tcW w:type="dxa" w:w="162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Artículo 89</w:t>
            </w:r>
          </w:p>
        </w:tc>
        <w:tc>
          <w:tcPr>
            <w:tcW w:type="dxa" w:w="504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Si se ventila con medios artificiales, 10 cambios de aire por hora.</w:t>
            </w:r>
          </w:p>
        </w:tc>
      </w:tr>
      <w:tr>
        <w:tc>
          <w:tcPr>
            <w:tcW w:type="dxa" w:w="234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Corredores y pasillos</w:t>
            </w:r>
          </w:p>
        </w:tc>
        <w:tc>
          <w:tcPr>
            <w:tcW w:type="dxa" w:w="162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Artículo 89</w:t>
            </w:r>
          </w:p>
        </w:tc>
        <w:tc>
          <w:tcPr>
            <w:tcW w:type="dxa" w:w="504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Un cambio de aire por hora, y puede ser a través de otros locales.</w:t>
            </w:r>
          </w:p>
        </w:tc>
      </w:tr>
      <w:tr>
        <w:tc>
          <w:tcPr>
            <w:tcW w:type="dxa" w:w="234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Carga de nieve</w:t>
            </w:r>
          </w:p>
        </w:tc>
        <w:tc>
          <w:tcPr>
            <w:tcW w:type="dxa" w:w="162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Artículo 179</w:t>
            </w:r>
          </w:p>
        </w:tc>
        <w:tc>
          <w:tcPr>
            <w:tcW w:type="dxa" w:w="504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Por el clima de Chihuahua se recomienda una carga de nieve no menor a 40 kg/m².</w:t>
            </w:r>
          </w:p>
        </w:tc>
      </w:tr>
      <w:tr>
        <w:tc>
          <w:tcPr>
            <w:tcW w:type="dxa" w:w="234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Nieve acumulada</w:t>
            </w:r>
          </w:p>
        </w:tc>
        <w:tc>
          <w:tcPr>
            <w:tcW w:type="dxa" w:w="162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Artículo 179</w:t>
            </w:r>
          </w:p>
        </w:tc>
        <w:tc>
          <w:tcPr>
            <w:tcW w:type="dxa" w:w="504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Donde el techo o alguna obstrucción provoque acumulación, la carga mínima sube a 60 kg/m².</w:t>
            </w:r>
          </w:p>
        </w:tc>
      </w:tr>
      <w:tr>
        <w:tc>
          <w:tcPr>
            <w:tcW w:type="dxa" w:w="234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Drenaje de techos</w:t>
            </w:r>
          </w:p>
        </w:tc>
        <w:tc>
          <w:tcPr>
            <w:tcW w:type="dxa" w:w="162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Artículo 180</w:t>
            </w:r>
          </w:p>
        </w:tc>
        <w:tc>
          <w:tcPr>
            <w:tcW w:type="dxa" w:w="504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Además del drenaje primario se instala uno secundario a mayor elevación, y el techo se diseña para soportar esa lámina de agua más una carga de 25 kg/m².</w:t>
            </w:r>
          </w:p>
        </w:tc>
      </w:tr>
      <w:tr>
        <w:tc>
          <w:tcPr>
            <w:tcW w:type="dxa" w:w="234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Encharcamiento</w:t>
            </w:r>
          </w:p>
        </w:tc>
        <w:tc>
          <w:tcPr>
            <w:tcW w:type="dxa" w:w="162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Artículo 181</w:t>
            </w:r>
          </w:p>
        </w:tc>
        <w:tc>
          <w:tcPr>
            <w:tcW w:type="dxa" w:w="504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Los techos se diseñan para no fallar por acumulación progresiva de agua.</w:t>
            </w:r>
          </w:p>
        </w:tc>
      </w:tr>
      <w:tr>
        <w:tc>
          <w:tcPr>
            <w:tcW w:type="dxa" w:w="234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Cimentación</w:t>
            </w:r>
          </w:p>
        </w:tc>
        <w:tc>
          <w:tcPr>
            <w:tcW w:type="dxa" w:w="162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Artículo 183</w:t>
            </w:r>
          </w:p>
        </w:tc>
        <w:tc>
          <w:tcPr>
            <w:tcW w:type="dxa" w:w="504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Toda construcción se apoya en una cimentación apropiada, y nunca se desplanta sobre tierra vegetal ni sobre lechos sueltos.</w:t>
            </w:r>
          </w:p>
        </w:tc>
      </w:tr>
      <w:tr>
        <w:tc>
          <w:tcPr>
            <w:tcW w:type="dxa" w:w="234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Cimentar sobre relleno</w:t>
            </w:r>
          </w:p>
        </w:tc>
        <w:tc>
          <w:tcPr>
            <w:tcW w:type="dxa" w:w="162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Artículo 184</w:t>
            </w:r>
          </w:p>
        </w:tc>
        <w:tc>
          <w:tcPr>
            <w:tcW w:type="dxa" w:w="504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Sólo se acepta sobre rellenos artificiales cuando se demuestre que cumplen la capacidad de carga y estabilidad del diseño.</w:t>
            </w:r>
          </w:p>
        </w:tc>
      </w:tr>
      <w:tr>
        <w:tc>
          <w:tcPr>
            <w:tcW w:type="dxa" w:w="234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Estudio de mecánica de suelos</w:t>
            </w:r>
          </w:p>
        </w:tc>
        <w:tc>
          <w:tcPr>
            <w:tcW w:type="dxa" w:w="162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Artículo 185</w:t>
            </w:r>
          </w:p>
        </w:tc>
        <w:tc>
          <w:tcPr>
            <w:tcW w:type="dxa" w:w="504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Es obligatorio en edificaciones de cuatro niveles o más, y cuando la Dirección lo juzgue necesario.</w:t>
            </w:r>
          </w:p>
        </w:tc>
      </w:tr>
      <w:tr>
        <w:tc>
          <w:tcPr>
            <w:tcW w:type="dxa" w:w="234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Revisión de colindancias</w:t>
            </w:r>
          </w:p>
        </w:tc>
        <w:tc>
          <w:tcPr>
            <w:tcW w:type="dxa" w:w="162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Artículo 186</w:t>
            </w:r>
          </w:p>
        </w:tc>
        <w:tc>
          <w:tcPr>
            <w:tcW w:type="dxa" w:w="504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Hay que investigar cimentación, estabilidad, asentamiento, agrietamiento y desplome de las construcciones vecinas.</w:t>
            </w:r>
          </w:p>
        </w:tc>
      </w:tr>
      <w:tr>
        <w:tc>
          <w:tcPr>
            <w:tcW w:type="dxa" w:w="234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Profundidad de desplante</w:t>
            </w:r>
          </w:p>
        </w:tc>
        <w:tc>
          <w:tcPr>
            <w:tcW w:type="dxa" w:w="162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Artículo 187</w:t>
            </w:r>
          </w:p>
        </w:tc>
        <w:tc>
          <w:tcPr>
            <w:tcW w:type="dxa" w:w="504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La subestructura se desplanta a una profundidad donde sea mínimo el deterioro del suelo por erosión o intemperismo.</w:t>
            </w:r>
          </w:p>
        </w:tc>
      </w:tr>
      <w:tr>
        <w:tc>
          <w:tcPr>
            <w:tcW w:type="dxa" w:w="234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Instalaciones hidráulicas y sanitarias</w:t>
            </w:r>
          </w:p>
        </w:tc>
        <w:tc>
          <w:tcPr>
            <w:tcW w:type="dxa" w:w="162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Artículo 189</w:t>
            </w:r>
          </w:p>
        </w:tc>
        <w:tc>
          <w:tcPr>
            <w:tcW w:type="dxa" w:w="504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Se rigen por el Reglamento de la Junta Municipal de Agua y Saneamiento de Chihuahua.</w:t>
            </w:r>
          </w:p>
        </w:tc>
      </w:tr>
      <w:tr>
        <w:tc>
          <w:tcPr>
            <w:tcW w:type="dxa" w:w="234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Temperatura interior</w:t>
            </w:r>
          </w:p>
        </w:tc>
        <w:tc>
          <w:tcPr>
            <w:tcW w:type="dxa" w:w="162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Artículo 190</w:t>
            </w:r>
          </w:p>
        </w:tc>
        <w:tc>
          <w:tcPr>
            <w:tcW w:type="dxa" w:w="504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Se recomienda que la casa se diseñe o equipe para mantener entre 18 y 27 °C cuando afuera haya entre 0 y 36 °C.</w:t>
            </w:r>
          </w:p>
        </w:tc>
      </w:tr>
      <w:tr>
        <w:tc>
          <w:tcPr>
            <w:tcW w:type="dxa" w:w="234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Renovación de aire</w:t>
            </w:r>
          </w:p>
        </w:tc>
        <w:tc>
          <w:tcPr>
            <w:tcW w:type="dxa" w:w="162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Artículo 190</w:t>
            </w:r>
          </w:p>
        </w:tc>
        <w:tc>
          <w:tcPr>
            <w:tcW w:type="dxa" w:w="504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Al menos un volumen habitable de aire por hora, de forma natural o mecánica.</w:t>
            </w:r>
          </w:p>
        </w:tc>
      </w:tr>
      <w:tr>
        <w:tc>
          <w:tcPr>
            <w:tcW w:type="dxa" w:w="234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Pérdida de energía</w:t>
            </w:r>
          </w:p>
        </w:tc>
        <w:tc>
          <w:tcPr>
            <w:tcW w:type="dxa" w:w="162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Artículo 190</w:t>
            </w:r>
          </w:p>
        </w:tc>
        <w:tc>
          <w:tcPr>
            <w:tcW w:type="dxa" w:w="504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En casa habitación unifamiliar o multifamiliar se procura no pasar de 2 W/m³K.</w:t>
            </w:r>
          </w:p>
        </w:tc>
      </w:tr>
      <w:tr>
        <w:tc>
          <w:tcPr>
            <w:tcW w:type="dxa" w:w="234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Instalación de gas</w:t>
            </w:r>
          </w:p>
        </w:tc>
        <w:tc>
          <w:tcPr>
            <w:tcW w:type="dxa" w:w="162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Artículo 190</w:t>
            </w:r>
          </w:p>
        </w:tc>
        <w:tc>
          <w:tcPr>
            <w:tcW w:type="dxa" w:w="504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Las instalaciones de gas LP y gas natural cumplen con las normas oficiales mexicanas.</w:t>
            </w:r>
          </w:p>
        </w:tc>
      </w:tr>
      <w:tr>
        <w:tc>
          <w:tcPr>
            <w:tcW w:type="dxa" w:w="234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Registros de teléfono y datos</w:t>
            </w:r>
          </w:p>
        </w:tc>
        <w:tc>
          <w:tcPr>
            <w:tcW w:type="dxa" w:w="162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Artículo 191</w:t>
            </w:r>
          </w:p>
        </w:tc>
        <w:tc>
          <w:tcPr>
            <w:tcW w:type="dxa" w:w="504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Se dejan registros, ductos y preparaciones en cualquier edificación con más de 100 m² construidos.</w:t>
            </w:r>
          </w:p>
        </w:tc>
      </w:tr>
      <w:tr>
        <w:tc>
          <w:tcPr>
            <w:tcW w:type="dxa" w:w="234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Elevador</w:t>
            </w:r>
          </w:p>
        </w:tc>
        <w:tc>
          <w:tcPr>
            <w:tcW w:type="dxa" w:w="162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Artículo 193</w:t>
            </w:r>
          </w:p>
        </w:tc>
        <w:tc>
          <w:tcPr>
            <w:tcW w:type="dxa" w:w="504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Se exige de cuatro niveles o 12 m en adelante, pero la edificación para habitación unifamiliar queda exceptuada.</w:t>
            </w:r>
          </w:p>
        </w:tc>
      </w:tr>
      <w:tr>
        <w:tc>
          <w:tcPr>
            <w:tcW w:type="dxa" w:w="234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Densidad de población</w:t>
            </w:r>
          </w:p>
        </w:tc>
        <w:tc>
          <w:tcPr>
            <w:tcW w:type="dxa" w:w="162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Artículo 197</w:t>
            </w:r>
          </w:p>
        </w:tc>
        <w:tc>
          <w:tcPr>
            <w:tcW w:type="dxa" w:w="504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En edificios para habitación se considera 1.85 personas por recámara.</w:t>
            </w:r>
          </w:p>
        </w:tc>
      </w:tr>
      <w:tr>
        <w:tc>
          <w:tcPr>
            <w:tcW w:type="dxa" w:w="234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Cajas de registro</w:t>
            </w:r>
          </w:p>
        </w:tc>
        <w:tc>
          <w:tcPr>
            <w:tcW w:type="dxa" w:w="162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Artículo 203</w:t>
            </w:r>
          </w:p>
        </w:tc>
        <w:tc>
          <w:tcPr>
            <w:tcW w:type="dxa" w:w="504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Se colocan a 0.60 metros del nivel del suelo y en lugares accesibles.</w:t>
            </w:r>
          </w:p>
        </w:tc>
      </w:tr>
      <w:tr>
        <w:tc>
          <w:tcPr>
            <w:tcW w:type="dxa" w:w="234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Registros por nivel</w:t>
            </w:r>
          </w:p>
        </w:tc>
        <w:tc>
          <w:tcPr>
            <w:tcW w:type="dxa" w:w="162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Artículo 203</w:t>
            </w:r>
          </w:p>
        </w:tc>
        <w:tc>
          <w:tcPr>
            <w:tcW w:type="dxa" w:w="504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En edificaciones para habitación puede haber un registro de distribución por cada dos niveles.</w:t>
            </w:r>
          </w:p>
        </w:tc>
      </w:tr>
      <w:tr>
        <w:tc>
          <w:tcPr>
            <w:tcW w:type="dxa" w:w="234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Líneas de distribución horizontal</w:t>
            </w:r>
          </w:p>
        </w:tc>
        <w:tc>
          <w:tcPr>
            <w:tcW w:type="dxa" w:w="162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Artículo 204</w:t>
            </w:r>
          </w:p>
        </w:tc>
        <w:tc>
          <w:tcPr>
            <w:tcW w:type="dxa" w:w="504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Van en tubería de fierro o plástico de 13 milímetros, con cajas de registro cada 20 metros como máximo a 0.60 m sobre el nivel del piso.</w:t>
            </w:r>
          </w:p>
        </w:tc>
      </w:tr>
      <w:tr>
        <w:tc>
          <w:tcPr>
            <w:tcW w:type="dxa" w:w="234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Clima artificial y calentadores</w:t>
            </w:r>
          </w:p>
        </w:tc>
        <w:tc>
          <w:tcPr>
            <w:tcW w:type="dxa" w:w="162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Artículo 202</w:t>
            </w:r>
          </w:p>
        </w:tc>
        <w:tc>
          <w:tcPr>
            <w:tcW w:type="dxa" w:w="504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Se usan de manera que no causen molestias, ruidos ni vibraciones y no pongan en peligro a las personas ni a la edificación.</w:t>
            </w:r>
          </w:p>
        </w:tc>
      </w:tr>
      <w:tr>
        <w:tc>
          <w:tcPr>
            <w:tcW w:type="dxa" w:w="234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Proyecto de gas combustible</w:t>
            </w:r>
          </w:p>
        </w:tc>
        <w:tc>
          <w:tcPr>
            <w:tcW w:type="dxa" w:w="162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Artículo 230</w:t>
            </w:r>
          </w:p>
        </w:tc>
        <w:tc>
          <w:tcPr>
            <w:tcW w:type="dxa" w:w="504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Contiene el isométrico de la instalación con consumos, tuberías y caída máxima de presión, firmado por el perito.</w:t>
            </w:r>
          </w:p>
        </w:tc>
      </w:tr>
      <w:tr>
        <w:tc>
          <w:tcPr>
            <w:tcW w:type="dxa" w:w="234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Clasificación de riesgo menor</w:t>
            </w:r>
          </w:p>
        </w:tc>
        <w:tc>
          <w:tcPr>
            <w:tcW w:type="dxa" w:w="162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Artículo 208</w:t>
            </w:r>
          </w:p>
        </w:tc>
        <w:tc>
          <w:tcPr>
            <w:tcW w:type="dxa" w:w="504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Son las edificaciones de hasta 25.00 metros de altura, hasta 250 ocupantes y hasta 3,000 m².</w:t>
            </w:r>
          </w:p>
        </w:tc>
      </w:tr>
      <w:tr>
        <w:tc>
          <w:tcPr>
            <w:tcW w:type="dxa" w:w="234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Extintores</w:t>
            </w:r>
          </w:p>
        </w:tc>
        <w:tc>
          <w:tcPr>
            <w:tcW w:type="dxa" w:w="162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Artículo 216</w:t>
            </w:r>
          </w:p>
        </w:tc>
        <w:tc>
          <w:tcPr>
            <w:tcW w:type="dxa" w:w="504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Se piden por piso en edificaciones de riesgo menor, con excepción de los edificios destinados a habitación de hasta cinco niveles.</w:t>
            </w:r>
          </w:p>
        </w:tc>
      </w:tr>
      <w:tr>
        <w:tc>
          <w:tcPr>
            <w:tcW w:type="dxa" w:w="234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Chimenea</w:t>
            </w:r>
          </w:p>
        </w:tc>
        <w:tc>
          <w:tcPr>
            <w:tcW w:type="dxa" w:w="162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Artículo 224</w:t>
            </w:r>
          </w:p>
        </w:tc>
        <w:tc>
          <w:tcPr>
            <w:tcW w:type="dxa" w:w="504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El tiro conduce humos y gases al exterior por la parte superior, con la salida a 1.50 metros sobre el nivel de la azotea y diseñada para poder deshollinarse.</w:t>
            </w:r>
          </w:p>
        </w:tc>
      </w:tr>
      <w:tr>
        <w:tc>
          <w:tcPr>
            <w:tcW w:type="dxa" w:w="234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Materiales junto a la chimenea</w:t>
            </w:r>
          </w:p>
        </w:tc>
        <w:tc>
          <w:tcPr>
            <w:tcW w:type="dxa" w:w="162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Artículo 224</w:t>
            </w:r>
          </w:p>
        </w:tc>
        <w:tc>
          <w:tcPr>
            <w:tcW w:type="dxa" w:w="504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Los materiales inflamables y los elementos decorativos quedan a no menos de 60 centímetros.</w:t>
            </w:r>
          </w:p>
        </w:tc>
      </w:tr>
      <w:tr>
        <w:tc>
          <w:tcPr>
            <w:tcW w:type="dxa" w:w="234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Campana de estufa</w:t>
            </w:r>
          </w:p>
        </w:tc>
        <w:tc>
          <w:tcPr>
            <w:tcW w:type="dxa" w:w="162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Artículo 225</w:t>
            </w:r>
          </w:p>
        </w:tc>
        <w:tc>
          <w:tcPr>
            <w:tcW w:type="dxa" w:w="504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Lleva filtros de grasa y sistema contra incendio, aunque las viviendas unifamiliares están exceptuadas.</w:t>
            </w:r>
          </w:p>
        </w:tc>
      </w:tr>
      <w:tr>
        <w:tc>
          <w:tcPr>
            <w:tcW w:type="dxa" w:w="234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Ductos de alta temperatura</w:t>
            </w:r>
          </w:p>
        </w:tc>
        <w:tc>
          <w:tcPr>
            <w:tcW w:type="dxa" w:w="162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Artículo 214</w:t>
            </w:r>
          </w:p>
        </w:tc>
        <w:tc>
          <w:tcPr>
            <w:tcW w:type="dxa" w:w="504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Los tiros de chimenea, campanas de extracción o ductos que conduzcan gases a más de 80 °C se separan mínimo 60 cm de los elementos estructurales de madera.</w:t>
            </w:r>
          </w:p>
        </w:tc>
      </w:tr>
      <w:tr>
        <w:tc>
          <w:tcPr>
            <w:tcW w:type="dxa" w:w="234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Muros interiores</w:t>
            </w:r>
          </w:p>
        </w:tc>
        <w:tc>
          <w:tcPr>
            <w:tcW w:type="dxa" w:w="162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Artículo 229</w:t>
            </w:r>
          </w:p>
        </w:tc>
        <w:tc>
          <w:tcPr>
            <w:tcW w:type="dxa" w:w="504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Los que separan departamentos o locales, o separan la zona de habitación de las circulaciones generales, se construyen a prueba de fuego y cubren todo el espacio vertical entre pisos.</w:t>
            </w:r>
          </w:p>
        </w:tc>
      </w:tr>
      <w:tr>
        <w:tc>
          <w:tcPr>
            <w:tcW w:type="dxa" w:w="234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Plafones</w:t>
            </w:r>
          </w:p>
        </w:tc>
        <w:tc>
          <w:tcPr>
            <w:tcW w:type="dxa" w:w="162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Artículo 223</w:t>
            </w:r>
          </w:p>
        </w:tc>
        <w:tc>
          <w:tcPr>
            <w:tcW w:type="dxa" w:w="504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Se construyen con materiales cuya resistencia al fuego sea de una hora por lo menos.</w:t>
            </w:r>
          </w:p>
        </w:tc>
      </w:tr>
      <w:tr>
        <w:tc>
          <w:tcPr>
            <w:tcW w:type="dxa" w:w="234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Conservación del inmueble</w:t>
            </w:r>
          </w:p>
        </w:tc>
        <w:tc>
          <w:tcPr>
            <w:tcW w:type="dxa" w:w="162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Artículo 48</w:t>
            </w:r>
          </w:p>
        </w:tc>
        <w:tc>
          <w:tcPr>
            <w:tcW w:type="dxa" w:w="504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El propietario mantiene la construcción en buenas condiciones de estabilidad, servicio e higiene, y la fachada en buen estado para no ser peligro.</w:t>
            </w:r>
          </w:p>
        </w:tc>
      </w:tr>
      <w:tr>
        <w:tc>
          <w:tcPr>
            <w:tcW w:type="dxa" w:w="234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Tapial fijo</w:t>
            </w:r>
          </w:p>
        </w:tc>
        <w:tc>
          <w:tcPr>
            <w:tcW w:type="dxa" w:w="162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Artículo 242</w:t>
            </w:r>
          </w:p>
        </w:tc>
        <w:tc>
          <w:tcPr>
            <w:tcW w:type="dxa" w:w="504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En obras a menos de diez metros de la vía pública, cubriendo todo el frente, con altura mínima de 2.40 metros.</w:t>
            </w:r>
          </w:p>
        </w:tc>
      </w:tr>
      <w:tr>
        <w:tc>
          <w:tcPr>
            <w:tcW w:type="dxa" w:w="234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Paso cubierto</w:t>
            </w:r>
          </w:p>
        </w:tc>
        <w:tc>
          <w:tcPr>
            <w:tcW w:type="dxa" w:w="162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Artículo 242</w:t>
            </w:r>
          </w:p>
        </w:tc>
        <w:tc>
          <w:tcPr>
            <w:tcW w:type="dxa" w:w="504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En obras de más de diez metros de altura, con 2.40 metros de altura y 1.20 metros de anchura libre cuando menos.</w:t>
            </w:r>
          </w:p>
        </w:tc>
      </w:tr>
      <w:tr>
        <w:tc>
          <w:tcPr>
            <w:tcW w:type="dxa" w:w="234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Servicios para trabajadores</w:t>
            </w:r>
          </w:p>
        </w:tc>
        <w:tc>
          <w:tcPr>
            <w:tcW w:type="dxa" w:w="162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Artículo 244</w:t>
            </w:r>
          </w:p>
        </w:tc>
        <w:tc>
          <w:tcPr>
            <w:tcW w:type="dxa" w:w="504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Agua potable, un sanitario portátil, excusado o letrina por cada 25 trabajadores y nunca menos de uno, más un botiquín de primeros auxilios.</w:t>
            </w:r>
          </w:p>
        </w:tc>
      </w:tr>
      <w:tr>
        <w:tc>
          <w:tcPr>
            <w:tcW w:type="dxa" w:w="234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Bitácora de obra</w:t>
            </w:r>
          </w:p>
        </w:tc>
        <w:tc>
          <w:tcPr>
            <w:tcW w:type="dxa" w:w="162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Artículo 233</w:t>
            </w:r>
          </w:p>
        </w:tc>
        <w:tc>
          <w:tcPr>
            <w:tcW w:type="dxa" w:w="504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El director responsable la mantiene en la obra, encuadernada y foliada, a disposición de los inspectores.</w:t>
            </w:r>
          </w:p>
        </w:tc>
      </w:tr>
      <w:tr>
        <w:tc>
          <w:tcPr>
            <w:tcW w:type="dxa" w:w="234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Limpieza durante la obra</w:t>
            </w:r>
          </w:p>
        </w:tc>
        <w:tc>
          <w:tcPr>
            <w:tcW w:type="dxa" w:w="162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Artículo 233</w:t>
            </w:r>
          </w:p>
        </w:tc>
        <w:tc>
          <w:tcPr>
            <w:tcW w:type="dxa" w:w="504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Se mantienen limpias las banquetas y las calles frente a la obra, y al terminar se retiran materiales y escombro.</w:t>
            </w:r>
          </w:p>
        </w:tc>
      </w:tr>
    </w:tbl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2026-08-15T22:50:44.392Z</dcterms:created>
  <dcterms:modified xsi:type="dcterms:W3CDTF">2026-08-15T22:50:44.392Z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