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89CF3" w14:textId="77777777" w:rsidR="005C212F" w:rsidRDefault="00000000">
      <w:pPr>
        <w:pStyle w:val="Title"/>
        <w:jc w:val="center"/>
      </w:pPr>
      <w:r>
        <w:t>Sales Forecasting &amp; Demand Intelligence</w:t>
      </w:r>
    </w:p>
    <w:p w14:paraId="00C9E22F" w14:textId="77777777" w:rsidR="005C212F" w:rsidRDefault="00000000">
      <w:pPr>
        <w:jc w:val="center"/>
      </w:pPr>
      <w:r>
        <w:rPr>
          <w:i/>
          <w:sz w:val="26"/>
        </w:rPr>
        <w:t>Executive Summary — Prepared for Head of Supply Chain &amp; CFO</w:t>
      </w:r>
    </w:p>
    <w:p w14:paraId="5BF6D8A0" w14:textId="77777777" w:rsidR="005C212F" w:rsidRDefault="00000000">
      <w:r>
        <w:rPr>
          <w:i/>
          <w:color w:val="993300"/>
          <w:sz w:val="18"/>
        </w:rPr>
        <w:t>NOTE TO REVIEWER: The bracketed placeholders below (e.g. [$X.XM], [Region]) are meant to be replaced with the exact figures your notebook produces once run against the real train.csv / vgsales.csv data. The structure, framing, and business language are final — only the numbers need to be dropped in.</w:t>
      </w:r>
    </w:p>
    <w:p w14:paraId="27E14AC5" w14:textId="77777777" w:rsidR="005C212F" w:rsidRDefault="005C212F"/>
    <w:p w14:paraId="08FE21F0" w14:textId="77777777" w:rsidR="005C212F" w:rsidRDefault="00000000">
      <w:pPr>
        <w:pStyle w:val="Heading1"/>
      </w:pPr>
      <w:r>
        <w:t>Executive Summary</w:t>
      </w:r>
    </w:p>
    <w:p w14:paraId="1868BAC6" w14:textId="77777777" w:rsidR="005C212F" w:rsidRDefault="00000000">
      <w:r>
        <w:t>Over the last four years, total sales have grown from [$X.XM] to [$X.XM], with [Category, e.g. Technology] consistently the largest revenue driver and [Region] showing the steadiest year-over-year growth. Our forecasting models project [Category/Region] sales of roughly [$X,XXX] per month over the next three months, with the strongest expected growth in [Segment]. We identified [N] unusual sales weeks that fall well outside normal patterns, most of which correspond to known promotional periods rather than data errors. We also grouped products into demand tiers so that stocking decisions can be tailored to how predictable — not just how big — a product's demand is. The net recommendation: tighten safety stock on stable, high-volume products to free up working capital, and protect availability on the fastest-growing segment identified below.</w:t>
      </w:r>
    </w:p>
    <w:p w14:paraId="04D1F575" w14:textId="77777777" w:rsidR="005C212F" w:rsidRDefault="00000000">
      <w:pPr>
        <w:pStyle w:val="Heading1"/>
      </w:pPr>
      <w:r>
        <w:t>Key Findings from Exploratory Analysis &amp; Forecasting</w:t>
      </w:r>
    </w:p>
    <w:p w14:paraId="05C22D79" w14:textId="77777777" w:rsidR="005C212F" w:rsidRDefault="00000000">
      <w:pPr>
        <w:pStyle w:val="Heading2"/>
      </w:pPr>
      <w:r>
        <w:t>Sales Patterns</w:t>
      </w:r>
    </w:p>
    <w:p w14:paraId="055735A1" w14:textId="77777777" w:rsidR="005C212F" w:rsidRDefault="00000000">
      <w:pPr>
        <w:pStyle w:val="ListBullet"/>
      </w:pPr>
      <w:r>
        <w:t>[Category] generates the highest total revenue at [$X.XM] ([XX]% of total sales).</w:t>
      </w:r>
    </w:p>
    <w:p w14:paraId="7DB11D94" w14:textId="77777777" w:rsidR="005C212F" w:rsidRDefault="00000000">
      <w:pPr>
        <w:pStyle w:val="ListBullet"/>
      </w:pPr>
      <w:r>
        <w:t>[Region] shows the most consistent year-over-year growth, with the lowest volatility in yearly growth rate among all regions.</w:t>
      </w:r>
    </w:p>
    <w:p w14:paraId="0EC8AA88" w14:textId="77777777" w:rsidR="005C212F" w:rsidRDefault="00000000">
      <w:pPr>
        <w:pStyle w:val="ListBullet"/>
      </w:pPr>
      <w:r>
        <w:t>Average order-to-ship time is [X.X] days overall, and [does/does not] vary meaningfully by region — [Region] ships fastest at [X.X] days, [Region] slowest at [X.X] days.</w:t>
      </w:r>
    </w:p>
    <w:p w14:paraId="4342EF4F" w14:textId="77777777" w:rsidR="005C212F" w:rsidRDefault="00000000">
      <w:pPr>
        <w:pStyle w:val="ListBullet"/>
      </w:pPr>
      <w:r>
        <w:t>Sales consistently spike in [Month(s)] every year, indicating strong and repeatable seasonality tied to [holiday season / back-to-school period].</w:t>
      </w:r>
    </w:p>
    <w:p w14:paraId="79E3839C" w14:textId="77777777" w:rsidR="005C212F" w:rsidRDefault="00000000">
      <w:pPr>
        <w:pStyle w:val="Heading2"/>
      </w:pPr>
      <w:r>
        <w:t>Forecasting Model Performance</w:t>
      </w:r>
    </w:p>
    <w:p w14:paraId="283CF6AD" w14:textId="77777777" w:rsidR="005C212F" w:rsidRDefault="00000000">
      <w:r>
        <w:t>Three forecasting approaches were built and compared on a common 3-month holdout window:</w:t>
      </w:r>
    </w:p>
    <w:tbl>
      <w:tblPr>
        <w:tblStyle w:val="LightGrid-Accent1"/>
        <w:tblW w:w="0" w:type="auto"/>
        <w:jc w:val="center"/>
        <w:tblLook w:val="04A0" w:firstRow="1" w:lastRow="0" w:firstColumn="1" w:lastColumn="0" w:noHBand="0" w:noVBand="1"/>
      </w:tblPr>
      <w:tblGrid>
        <w:gridCol w:w="2160"/>
        <w:gridCol w:w="2160"/>
        <w:gridCol w:w="2160"/>
        <w:gridCol w:w="2160"/>
      </w:tblGrid>
      <w:tr w:rsidR="005C212F" w14:paraId="3E52983F" w14:textId="77777777" w:rsidTr="005C21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D02031" w14:textId="77777777" w:rsidR="005C212F" w:rsidRDefault="00000000">
            <w:r>
              <w:t>Model</w:t>
            </w:r>
          </w:p>
        </w:tc>
        <w:tc>
          <w:tcPr>
            <w:tcW w:w="2160" w:type="dxa"/>
          </w:tcPr>
          <w:p w14:paraId="5C6FCD5E" w14:textId="77777777" w:rsidR="005C212F" w:rsidRDefault="00000000">
            <w:pPr>
              <w:cnfStyle w:val="100000000000" w:firstRow="1" w:lastRow="0" w:firstColumn="0" w:lastColumn="0" w:oddVBand="0" w:evenVBand="0" w:oddHBand="0" w:evenHBand="0" w:firstRowFirstColumn="0" w:firstRowLastColumn="0" w:lastRowFirstColumn="0" w:lastRowLastColumn="0"/>
            </w:pPr>
            <w:r>
              <w:t>MAE ($)</w:t>
            </w:r>
          </w:p>
        </w:tc>
        <w:tc>
          <w:tcPr>
            <w:tcW w:w="2160" w:type="dxa"/>
          </w:tcPr>
          <w:p w14:paraId="4826799F" w14:textId="77777777" w:rsidR="005C212F" w:rsidRDefault="00000000">
            <w:pPr>
              <w:cnfStyle w:val="100000000000" w:firstRow="1" w:lastRow="0" w:firstColumn="0" w:lastColumn="0" w:oddVBand="0" w:evenVBand="0" w:oddHBand="0" w:evenHBand="0" w:firstRowFirstColumn="0" w:firstRowLastColumn="0" w:lastRowFirstColumn="0" w:lastRowLastColumn="0"/>
            </w:pPr>
            <w:r>
              <w:t>RMSE ($)</w:t>
            </w:r>
          </w:p>
        </w:tc>
        <w:tc>
          <w:tcPr>
            <w:tcW w:w="2160" w:type="dxa"/>
          </w:tcPr>
          <w:p w14:paraId="0714A6E0" w14:textId="77777777" w:rsidR="005C212F" w:rsidRDefault="00000000">
            <w:pPr>
              <w:cnfStyle w:val="100000000000" w:firstRow="1" w:lastRow="0" w:firstColumn="0" w:lastColumn="0" w:oddVBand="0" w:evenVBand="0" w:oddHBand="0" w:evenHBand="0" w:firstRowFirstColumn="0" w:firstRowLastColumn="0" w:lastRowFirstColumn="0" w:lastRowLastColumn="0"/>
            </w:pPr>
            <w:r>
              <w:t>MAPE (%)</w:t>
            </w:r>
          </w:p>
        </w:tc>
      </w:tr>
      <w:tr w:rsidR="005C212F" w14:paraId="3C4E0E46" w14:textId="77777777" w:rsidTr="005C21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A77D8F" w14:textId="77777777" w:rsidR="005C212F" w:rsidRDefault="00000000">
            <w:r>
              <w:t>SARIMA (statistical)</w:t>
            </w:r>
          </w:p>
        </w:tc>
        <w:tc>
          <w:tcPr>
            <w:tcW w:w="2160" w:type="dxa"/>
          </w:tcPr>
          <w:p w14:paraId="1188942B" w14:textId="77777777" w:rsidR="005C212F" w:rsidRDefault="00000000">
            <w:pPr>
              <w:cnfStyle w:val="000000100000" w:firstRow="0" w:lastRow="0" w:firstColumn="0" w:lastColumn="0" w:oddVBand="0" w:evenVBand="0" w:oddHBand="1" w:evenHBand="0" w:firstRowFirstColumn="0" w:firstRowLastColumn="0" w:lastRowFirstColumn="0" w:lastRowLastColumn="0"/>
            </w:pPr>
            <w:r>
              <w:t>[X,XXX]</w:t>
            </w:r>
          </w:p>
        </w:tc>
        <w:tc>
          <w:tcPr>
            <w:tcW w:w="2160" w:type="dxa"/>
          </w:tcPr>
          <w:p w14:paraId="3FA8F875" w14:textId="77777777" w:rsidR="005C212F" w:rsidRDefault="00000000">
            <w:pPr>
              <w:cnfStyle w:val="000000100000" w:firstRow="0" w:lastRow="0" w:firstColumn="0" w:lastColumn="0" w:oddVBand="0" w:evenVBand="0" w:oddHBand="1" w:evenHBand="0" w:firstRowFirstColumn="0" w:firstRowLastColumn="0" w:lastRowFirstColumn="0" w:lastRowLastColumn="0"/>
            </w:pPr>
            <w:r>
              <w:t>[X,XXX]</w:t>
            </w:r>
          </w:p>
        </w:tc>
        <w:tc>
          <w:tcPr>
            <w:tcW w:w="2160" w:type="dxa"/>
          </w:tcPr>
          <w:p w14:paraId="505086BE" w14:textId="77777777" w:rsidR="005C212F" w:rsidRDefault="00000000">
            <w:pPr>
              <w:cnfStyle w:val="000000100000" w:firstRow="0" w:lastRow="0" w:firstColumn="0" w:lastColumn="0" w:oddVBand="0" w:evenVBand="0" w:oddHBand="1" w:evenHBand="0" w:firstRowFirstColumn="0" w:firstRowLastColumn="0" w:lastRowFirstColumn="0" w:lastRowLastColumn="0"/>
            </w:pPr>
            <w:r>
              <w:t>[X.X]%</w:t>
            </w:r>
          </w:p>
        </w:tc>
      </w:tr>
      <w:tr w:rsidR="005C212F" w14:paraId="4CEBD5DB" w14:textId="77777777" w:rsidTr="005C21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8678CF" w14:textId="77777777" w:rsidR="005C212F" w:rsidRDefault="00000000">
            <w:r>
              <w:lastRenderedPageBreak/>
              <w:t>Prophet (Facebook)</w:t>
            </w:r>
          </w:p>
        </w:tc>
        <w:tc>
          <w:tcPr>
            <w:tcW w:w="2160" w:type="dxa"/>
          </w:tcPr>
          <w:p w14:paraId="56D56DD2" w14:textId="36F6552E" w:rsidR="005C212F" w:rsidRDefault="00000000">
            <w:pPr>
              <w:cnfStyle w:val="000000010000" w:firstRow="0" w:lastRow="0" w:firstColumn="0" w:lastColumn="0" w:oddVBand="0" w:evenVBand="0" w:oddHBand="0" w:evenHBand="1" w:firstRowFirstColumn="0" w:firstRowLastColumn="0" w:lastRowFirstColumn="0" w:lastRowLastColumn="0"/>
            </w:pPr>
            <w:r>
              <w:t>[X,XX</w:t>
            </w:r>
            <w:r w:rsidR="002910A8">
              <w:t>X</w:t>
            </w:r>
            <w:r>
              <w:t>]</w:t>
            </w:r>
          </w:p>
        </w:tc>
        <w:tc>
          <w:tcPr>
            <w:tcW w:w="2160" w:type="dxa"/>
          </w:tcPr>
          <w:p w14:paraId="54E2FC36" w14:textId="77777777" w:rsidR="005C212F" w:rsidRDefault="00000000">
            <w:pPr>
              <w:cnfStyle w:val="000000010000" w:firstRow="0" w:lastRow="0" w:firstColumn="0" w:lastColumn="0" w:oddVBand="0" w:evenVBand="0" w:oddHBand="0" w:evenHBand="1" w:firstRowFirstColumn="0" w:firstRowLastColumn="0" w:lastRowFirstColumn="0" w:lastRowLastColumn="0"/>
            </w:pPr>
            <w:r>
              <w:t>[X,XXX]</w:t>
            </w:r>
          </w:p>
        </w:tc>
        <w:tc>
          <w:tcPr>
            <w:tcW w:w="2160" w:type="dxa"/>
          </w:tcPr>
          <w:p w14:paraId="22F2852D" w14:textId="77777777" w:rsidR="005C212F" w:rsidRDefault="00000000">
            <w:pPr>
              <w:cnfStyle w:val="000000010000" w:firstRow="0" w:lastRow="0" w:firstColumn="0" w:lastColumn="0" w:oddVBand="0" w:evenVBand="0" w:oddHBand="0" w:evenHBand="1" w:firstRowFirstColumn="0" w:firstRowLastColumn="0" w:lastRowFirstColumn="0" w:lastRowLastColumn="0"/>
            </w:pPr>
            <w:r>
              <w:t>[X.X]%</w:t>
            </w:r>
          </w:p>
        </w:tc>
      </w:tr>
      <w:tr w:rsidR="005C212F" w14:paraId="0A92A896" w14:textId="77777777" w:rsidTr="005C21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78097B" w14:textId="77777777" w:rsidR="005C212F" w:rsidRDefault="00000000">
            <w:r>
              <w:t>XGBoost (ML)</w:t>
            </w:r>
          </w:p>
        </w:tc>
        <w:tc>
          <w:tcPr>
            <w:tcW w:w="2160" w:type="dxa"/>
          </w:tcPr>
          <w:p w14:paraId="2E105BC6" w14:textId="77777777" w:rsidR="005C212F" w:rsidRDefault="00000000">
            <w:pPr>
              <w:cnfStyle w:val="000000100000" w:firstRow="0" w:lastRow="0" w:firstColumn="0" w:lastColumn="0" w:oddVBand="0" w:evenVBand="0" w:oddHBand="1" w:evenHBand="0" w:firstRowFirstColumn="0" w:firstRowLastColumn="0" w:lastRowFirstColumn="0" w:lastRowLastColumn="0"/>
            </w:pPr>
            <w:r>
              <w:t>[X,XXX]</w:t>
            </w:r>
          </w:p>
        </w:tc>
        <w:tc>
          <w:tcPr>
            <w:tcW w:w="2160" w:type="dxa"/>
          </w:tcPr>
          <w:p w14:paraId="449D7539" w14:textId="77777777" w:rsidR="005C212F" w:rsidRDefault="00000000">
            <w:pPr>
              <w:cnfStyle w:val="000000100000" w:firstRow="0" w:lastRow="0" w:firstColumn="0" w:lastColumn="0" w:oddVBand="0" w:evenVBand="0" w:oddHBand="1" w:evenHBand="0" w:firstRowFirstColumn="0" w:firstRowLastColumn="0" w:lastRowFirstColumn="0" w:lastRowLastColumn="0"/>
            </w:pPr>
            <w:r>
              <w:t>[X,XXX]</w:t>
            </w:r>
          </w:p>
        </w:tc>
        <w:tc>
          <w:tcPr>
            <w:tcW w:w="2160" w:type="dxa"/>
          </w:tcPr>
          <w:p w14:paraId="67A6F1AF" w14:textId="77777777" w:rsidR="005C212F" w:rsidRDefault="00000000">
            <w:pPr>
              <w:cnfStyle w:val="000000100000" w:firstRow="0" w:lastRow="0" w:firstColumn="0" w:lastColumn="0" w:oddVBand="0" w:evenVBand="0" w:oddHBand="1" w:evenHBand="0" w:firstRowFirstColumn="0" w:firstRowLastColumn="0" w:lastRowFirstColumn="0" w:lastRowLastColumn="0"/>
            </w:pPr>
            <w:r>
              <w:t>[X.X]%</w:t>
            </w:r>
          </w:p>
        </w:tc>
      </w:tr>
    </w:tbl>
    <w:p w14:paraId="375A2616" w14:textId="77777777" w:rsidR="005C212F" w:rsidRDefault="005C212F"/>
    <w:p w14:paraId="1873D82F" w14:textId="77777777" w:rsidR="005C212F" w:rsidRDefault="00000000">
      <w:r>
        <w:t>Recommendation: deploy [Winning Model] for production forecasting — it produced the lowest forecast error (MAPE) on held-out months, meaning its month-ahead predictions were, on average, off by only [X.X]%. This is the model wired into the Forecast Explorer dashboard.</w:t>
      </w:r>
    </w:p>
    <w:p w14:paraId="2F3953C6" w14:textId="77777777" w:rsidR="005C212F" w:rsidRDefault="00000000">
      <w:pPr>
        <w:pStyle w:val="Heading1"/>
      </w:pPr>
      <w:r>
        <w:t>3-Month Sales Forecast</w:t>
      </w:r>
    </w:p>
    <w:p w14:paraId="454F9E75" w14:textId="77777777" w:rsidR="005C212F" w:rsidRDefault="00000000">
      <w:r>
        <w:t>Based on the recommended model, expected total sales for the next three months are approximately [$XXX,XXX] (Month 1), [$XXX,XXX] (Month 2), and [$XXX,XXX] (Month 3). These figures carry a reasonable margin of uncertainty — the model's 95% confidence range spans roughly [$XX,XXX] below to [$XX,XXX] above the point estimate for the final month, widening the further out the forecast goes. In plain terms: plan procurement and staffing around the central estimate, but keep enough flexibility to absorb a swing of about [+/-XX]% without a stockout or major excess inventory.</w:t>
      </w:r>
    </w:p>
    <w:p w14:paraId="1A7ECBF1" w14:textId="77777777" w:rsidR="005C212F" w:rsidRDefault="00000000">
      <w:pPr>
        <w:pStyle w:val="Heading1"/>
      </w:pPr>
      <w:r>
        <w:t>Top Anomalies Detected</w:t>
      </w:r>
    </w:p>
    <w:p w14:paraId="0D62A370" w14:textId="77777777" w:rsidR="005C212F" w:rsidRDefault="00000000">
      <w:r>
        <w:t>Two independent anomaly-detection methods (Isolation Forest and rolling Z-score) were applied to weekly sales. The three most significant anomalies were:</w:t>
      </w:r>
    </w:p>
    <w:p w14:paraId="1C24ACB9" w14:textId="77777777" w:rsidR="005C212F" w:rsidRDefault="00000000">
      <w:pPr>
        <w:pStyle w:val="ListBullet"/>
      </w:pPr>
      <w:r>
        <w:t>[Date range, e.g. late Nov Year 2] — sales spiked to [$XX,XXX], roughly [X]x the typical week. Likely cause: Black Friday / Thanksgiving promotions.</w:t>
      </w:r>
    </w:p>
    <w:p w14:paraId="4602EF0D" w14:textId="77777777" w:rsidR="005C212F" w:rsidRDefault="00000000">
      <w:pPr>
        <w:pStyle w:val="ListBullet"/>
      </w:pPr>
      <w:r>
        <w:t>[Date range] — sales spiked to [$XX,XXX]. Likely cause: end-of-year holiday demand.</w:t>
      </w:r>
    </w:p>
    <w:p w14:paraId="7999A840" w14:textId="77777777" w:rsidR="005C212F" w:rsidRDefault="00000000">
      <w:pPr>
        <w:pStyle w:val="ListBullet"/>
      </w:pPr>
      <w:r>
        <w:t>[Date range] — sales dropped to [$X,XXX], well below the seasonal norm. Likely cause: post-holiday demand crash / possible fulfillment disruption worth investigating.</w:t>
      </w:r>
    </w:p>
    <w:p w14:paraId="16D899FC" w14:textId="77777777" w:rsidR="005C212F" w:rsidRDefault="00000000">
      <w:r>
        <w:t>Both detection methods agreed on the most extreme spikes, which increases confidence these are genuine events rather than data artifacts — a useful signal that this monitoring approach can be trusted for ongoing use.</w:t>
      </w:r>
    </w:p>
    <w:p w14:paraId="0E982068" w14:textId="77777777" w:rsidR="005C212F" w:rsidRDefault="00000000">
      <w:pPr>
        <w:pStyle w:val="Heading1"/>
      </w:pPr>
      <w:r>
        <w:t>Product Demand Segmentation &amp; Stocking Strategy</w:t>
      </w:r>
    </w:p>
    <w:p w14:paraId="7D1FF0AC" w14:textId="77777777" w:rsidR="005C212F" w:rsidRDefault="00000000">
      <w:r>
        <w:t>Products were grouped into four demand tiers using total volume, growth rate, and volatility:</w:t>
      </w:r>
    </w:p>
    <w:tbl>
      <w:tblPr>
        <w:tblStyle w:val="LightGrid-Accent1"/>
        <w:tblW w:w="0" w:type="auto"/>
        <w:tblLook w:val="04A0" w:firstRow="1" w:lastRow="0" w:firstColumn="1" w:lastColumn="0" w:noHBand="0" w:noVBand="1"/>
      </w:tblPr>
      <w:tblGrid>
        <w:gridCol w:w="4320"/>
        <w:gridCol w:w="4320"/>
      </w:tblGrid>
      <w:tr w:rsidR="005C212F" w14:paraId="55F43DD5" w14:textId="77777777" w:rsidTr="005C21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60EDD8" w14:textId="77777777" w:rsidR="005C212F" w:rsidRDefault="00000000">
            <w:r>
              <w:t>Demand Segment</w:t>
            </w:r>
          </w:p>
        </w:tc>
        <w:tc>
          <w:tcPr>
            <w:tcW w:w="4320" w:type="dxa"/>
          </w:tcPr>
          <w:p w14:paraId="1A915EF3" w14:textId="77777777" w:rsidR="005C212F" w:rsidRDefault="00000000">
            <w:pPr>
              <w:cnfStyle w:val="100000000000" w:firstRow="1" w:lastRow="0" w:firstColumn="0" w:lastColumn="0" w:oddVBand="0" w:evenVBand="0" w:oddHBand="0" w:evenHBand="0" w:firstRowFirstColumn="0" w:firstRowLastColumn="0" w:lastRowFirstColumn="0" w:lastRowLastColumn="0"/>
            </w:pPr>
            <w:r>
              <w:t>Recommended Stocking Strategy</w:t>
            </w:r>
          </w:p>
        </w:tc>
      </w:tr>
      <w:tr w:rsidR="005C212F" w14:paraId="3867965A" w14:textId="77777777" w:rsidTr="005C2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4FF01" w14:textId="77777777" w:rsidR="005C212F" w:rsidRDefault="00000000">
            <w:r>
              <w:t>High Volume, Stable Demand</w:t>
            </w:r>
          </w:p>
        </w:tc>
        <w:tc>
          <w:tcPr>
            <w:tcW w:w="4320" w:type="dxa"/>
          </w:tcPr>
          <w:p w14:paraId="72E78F0B" w14:textId="77777777" w:rsidR="005C212F" w:rsidRDefault="00000000">
            <w:pPr>
              <w:cnfStyle w:val="000000100000" w:firstRow="0" w:lastRow="0" w:firstColumn="0" w:lastColumn="0" w:oddVBand="0" w:evenVBand="0" w:oddHBand="1" w:evenHBand="0" w:firstRowFirstColumn="0" w:firstRowLastColumn="0" w:lastRowFirstColumn="0" w:lastRowLastColumn="0"/>
            </w:pPr>
            <w:r>
              <w:t>Minimal safety stock; simple reorder-point replenishment. Frees up working capital.</w:t>
            </w:r>
          </w:p>
        </w:tc>
      </w:tr>
      <w:tr w:rsidR="005C212F" w14:paraId="79DE93C7" w14:textId="77777777" w:rsidTr="005C21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FD02F" w14:textId="77777777" w:rsidR="005C212F" w:rsidRDefault="00000000">
            <w:r>
              <w:t>Low Volume, High Volatility</w:t>
            </w:r>
          </w:p>
        </w:tc>
        <w:tc>
          <w:tcPr>
            <w:tcW w:w="4320" w:type="dxa"/>
          </w:tcPr>
          <w:p w14:paraId="08E2A4F2" w14:textId="77777777" w:rsidR="005C212F" w:rsidRDefault="00000000">
            <w:pPr>
              <w:cnfStyle w:val="000000010000" w:firstRow="0" w:lastRow="0" w:firstColumn="0" w:lastColumn="0" w:oddVBand="0" w:evenVBand="0" w:oddHBand="0" w:evenHBand="1" w:firstRowFirstColumn="0" w:firstRowLastColumn="0" w:lastRowFirstColumn="0" w:lastRowLastColumn="0"/>
            </w:pPr>
            <w:r>
              <w:t>Smaller, more frequent orders; avoid large upfront commitments.</w:t>
            </w:r>
          </w:p>
        </w:tc>
      </w:tr>
      <w:tr w:rsidR="005C212F" w14:paraId="1940EB15" w14:textId="77777777" w:rsidTr="005C21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83E83" w14:textId="77777777" w:rsidR="005C212F" w:rsidRDefault="00000000">
            <w:r>
              <w:t>Growing Demand</w:t>
            </w:r>
          </w:p>
        </w:tc>
        <w:tc>
          <w:tcPr>
            <w:tcW w:w="4320" w:type="dxa"/>
          </w:tcPr>
          <w:p w14:paraId="04E3264C" w14:textId="77777777" w:rsidR="005C212F" w:rsidRDefault="00000000">
            <w:pPr>
              <w:cnfStyle w:val="000000100000" w:firstRow="0" w:lastRow="0" w:firstColumn="0" w:lastColumn="0" w:oddVBand="0" w:evenVBand="0" w:oddHBand="1" w:evenHBand="0" w:firstRowFirstColumn="0" w:firstRowLastColumn="0" w:lastRowFirstColumn="0" w:lastRowLastColumn="0"/>
            </w:pPr>
            <w:r>
              <w:t xml:space="preserve">Increase stock ahead of trend; negotiate flexible supplier terms — stockout risk here is </w:t>
            </w:r>
            <w:r>
              <w:lastRenderedPageBreak/>
              <w:t>costlier than overstock.</w:t>
            </w:r>
          </w:p>
        </w:tc>
      </w:tr>
      <w:tr w:rsidR="005C212F" w14:paraId="6865F540" w14:textId="77777777" w:rsidTr="005C21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874451" w14:textId="77777777" w:rsidR="005C212F" w:rsidRDefault="00000000">
            <w:r>
              <w:lastRenderedPageBreak/>
              <w:t>Declining Demand</w:t>
            </w:r>
          </w:p>
        </w:tc>
        <w:tc>
          <w:tcPr>
            <w:tcW w:w="4320" w:type="dxa"/>
          </w:tcPr>
          <w:p w14:paraId="6254C066" w14:textId="77777777" w:rsidR="005C212F" w:rsidRDefault="00000000">
            <w:pPr>
              <w:cnfStyle w:val="000000010000" w:firstRow="0" w:lastRow="0" w:firstColumn="0" w:lastColumn="0" w:oddVBand="0" w:evenVBand="0" w:oddHBand="0" w:evenHBand="1" w:firstRowFirstColumn="0" w:firstRowLastColumn="0" w:lastRowFirstColumn="0" w:lastRowLastColumn="0"/>
            </w:pPr>
            <w:r>
              <w:t>Wind down commitments; consider clearance; investigate whether it is lifecycle decline or substitution.</w:t>
            </w:r>
          </w:p>
        </w:tc>
      </w:tr>
    </w:tbl>
    <w:p w14:paraId="2A7E7D2E" w14:textId="77777777" w:rsidR="005C212F" w:rsidRDefault="005C212F"/>
    <w:p w14:paraId="51951AE3" w14:textId="77777777" w:rsidR="005C212F" w:rsidRDefault="00000000">
      <w:r>
        <w:t>Full sub-category-to-segment mapping is available in the interactive dashboard (Page 4 — Product Demand Segments).</w:t>
      </w:r>
    </w:p>
    <w:p w14:paraId="603553C0" w14:textId="77777777" w:rsidR="005C212F" w:rsidRDefault="00000000">
      <w:pPr>
        <w:pStyle w:val="Heading1"/>
      </w:pPr>
      <w:r>
        <w:t>Business Recommendations</w:t>
      </w:r>
    </w:p>
    <w:p w14:paraId="78DACC0E" w14:textId="77777777" w:rsidR="005C212F" w:rsidRDefault="00000000">
      <w:pPr>
        <w:pStyle w:val="ListBullet"/>
      </w:pPr>
      <w:r>
        <w:t>Reduce safety stock on High Volume, Stable Demand products by roughly [X]%, based on their low sales volatility — this frees an estimated [$XXX,XXX] in tied-up working capital without materially increasing stockout risk.</w:t>
      </w:r>
    </w:p>
    <w:p w14:paraId="7CD33715" w14:textId="77777777" w:rsidR="005C212F" w:rsidRDefault="00000000">
      <w:pPr>
        <w:pStyle w:val="ListBullet"/>
      </w:pPr>
      <w:r>
        <w:t>Pre-build inventory for [fastest-growing segment] ahead of the next quarter — the model projects [+XX]% growth there, and a stockout in a growth segment costs more in lost sales than the carrying cost of extra stock.</w:t>
      </w:r>
    </w:p>
    <w:p w14:paraId="4DF52686" w14:textId="77777777" w:rsidR="005C212F" w:rsidRDefault="00000000">
      <w:pPr>
        <w:pStyle w:val="ListBullet"/>
      </w:pPr>
      <w:r>
        <w:t>Set a standing alert on the two anomaly-detection methods used here so unusual weeks (like the ones flagged around [Month]) are caught in near-real time rather than discovered at month-end close.</w:t>
      </w:r>
    </w:p>
    <w:p w14:paraId="50D3D34C" w14:textId="77777777" w:rsidR="005C212F" w:rsidRDefault="00000000">
      <w:pPr>
        <w:pStyle w:val="Heading1"/>
      </w:pPr>
      <w:r>
        <w:t>Risk &amp; Limitation</w:t>
      </w:r>
    </w:p>
    <w:p w14:paraId="695DE4AC" w14:textId="77777777" w:rsidR="005C212F" w:rsidRDefault="00000000">
      <w:r>
        <w:t>All three models are trained on four years of historical data and assume next quarter behaves structurally like the past — they will not anticipate a genuinely new shock (a new competitor, a supply disruption, a macroeconomic downturn) that has no precedent in the training window. Forecasts should be treated as a data-informed starting point for planning, not a guarantee, and should be revisited monthly as new actuals come in.</w:t>
      </w:r>
    </w:p>
    <w:p w14:paraId="521A810F" w14:textId="77777777" w:rsidR="005C212F" w:rsidRDefault="005C212F"/>
    <w:p w14:paraId="5DD60FD6" w14:textId="77777777" w:rsidR="005C212F" w:rsidRDefault="00000000">
      <w:r>
        <w:rPr>
          <w:i/>
          <w:sz w:val="18"/>
        </w:rPr>
        <w:t>Prepared as part of the End-to-End Sales Forecasting &amp; Demand Intelligence internship project.</w:t>
      </w:r>
    </w:p>
    <w:sectPr w:rsidR="005C21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197873">
    <w:abstractNumId w:val="8"/>
  </w:num>
  <w:num w:numId="2" w16cid:durableId="1065370546">
    <w:abstractNumId w:val="6"/>
  </w:num>
  <w:num w:numId="3" w16cid:durableId="1619950169">
    <w:abstractNumId w:val="5"/>
  </w:num>
  <w:num w:numId="4" w16cid:durableId="961307782">
    <w:abstractNumId w:val="4"/>
  </w:num>
  <w:num w:numId="5" w16cid:durableId="1310206082">
    <w:abstractNumId w:val="7"/>
  </w:num>
  <w:num w:numId="6" w16cid:durableId="329334525">
    <w:abstractNumId w:val="3"/>
  </w:num>
  <w:num w:numId="7" w16cid:durableId="1765303257">
    <w:abstractNumId w:val="2"/>
  </w:num>
  <w:num w:numId="8" w16cid:durableId="374089168">
    <w:abstractNumId w:val="1"/>
  </w:num>
  <w:num w:numId="9" w16cid:durableId="10525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0A8"/>
    <w:rsid w:val="0029639D"/>
    <w:rsid w:val="00326F90"/>
    <w:rsid w:val="003A2B32"/>
    <w:rsid w:val="005C21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3E56EC-EB4D-4BC1-9523-B71E70171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sandya4727@gmail.com</cp:lastModifiedBy>
  <cp:revision>2</cp:revision>
  <dcterms:created xsi:type="dcterms:W3CDTF">2013-12-23T23:15:00Z</dcterms:created>
  <dcterms:modified xsi:type="dcterms:W3CDTF">2026-07-04T13:32:00Z</dcterms:modified>
  <cp:category/>
</cp:coreProperties>
</file>