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38"/>
        </w:rPr>
        <w:t>Sales Forecasting &amp; Demand Intelligence</w:t>
      </w:r>
    </w:p>
    <w:p>
      <w:pPr>
        <w:spacing w:after="160"/>
        <w:jc w:val="center"/>
      </w:pPr>
      <w:r>
        <w:rPr>
          <w:i/>
          <w:color w:val="555555"/>
          <w:sz w:val="22"/>
        </w:rPr>
        <w:t>Executive Summary — Prepared for Head of Supply Chain &amp; CFO</w:t>
      </w:r>
    </w:p>
    <w:p>
      <w:pPr>
        <w:spacing w:after="120"/>
      </w:pPr>
      <w:r>
        <w:rPr>
          <w:color w:val="CCCCCC"/>
          <w:sz w:val="12"/>
        </w:rPr>
        <w:t>____________________________________________________________________________________________________</w:t>
      </w:r>
    </w:p>
    <w:p>
      <w:pPr>
        <w:spacing w:before="320" w:after="120"/>
      </w:pPr>
      <w:r>
        <w:rPr>
          <w:b/>
          <w:color w:val="1F3A5F"/>
          <w:sz w:val="30"/>
        </w:rPr>
        <w:t>Executive Summary</w:t>
      </w:r>
    </w:p>
    <w:p>
      <w:pPr>
        <w:spacing w:after="140"/>
      </w:pPr>
      <w:r>
        <w:rPr>
          <w:b w:val="0"/>
          <w:i w:val="0"/>
          <w:sz w:val="21"/>
        </w:rPr>
        <w:t>Total sales grew from roughly $480K (2015) to roughly $722K (2018), a ~50% increase. Technology is the largest revenue driver (36.6% of sales) and also shows the strongest projected growth over the next 3 months; the East region shows the steadiest year-over-year growth. Our best model (SARIMA) forecasts $64,500 / $104,300 / $96,400 for the next three months. We flagged 11 unusual sales weeks via Isolation Forest, the largest tied to a one-off bulk order in early 2015 and the Nov/Dec 2018 holiday peak. Most importantly: 47% of total revenue sits in one high-volatility product tier (Chairs, Phones, Storage, Tables) — the clearest actionable finding here. Recommendation: give that tier its own inventory policy, and use the SARIMA forecast as the primary planning input given its clear accuracy edge.</w:t>
      </w:r>
    </w:p>
    <w:p>
      <w:pPr>
        <w:spacing w:before="320" w:after="120"/>
      </w:pPr>
      <w:r>
        <w:rPr>
          <w:b/>
          <w:color w:val="1F3A5F"/>
          <w:sz w:val="30"/>
        </w:rPr>
        <w:t>Key Findings</w:t>
      </w:r>
    </w:p>
    <w:p>
      <w:pPr>
        <w:spacing w:before="160" w:after="80"/>
      </w:pPr>
      <w:r>
        <w:rPr>
          <w:b/>
          <w:color w:val="2F6F6D"/>
          <w:sz w:val="24"/>
        </w:rPr>
        <w:t>Sales Patterns</w:t>
      </w:r>
    </w:p>
    <w:p>
      <w:pPr>
        <w:pStyle w:val="ListBullet"/>
        <w:spacing w:after="80"/>
      </w:pPr>
      <w:r>
        <w:rPr>
          <w:sz w:val="21"/>
        </w:rPr>
        <w:t>Technology generates the highest revenue at $827,456 (36.6%), ahead of Furniture ($728,659, 32.2%) and Office Supplies ($705,422, 31.2%).</w:t>
      </w:r>
    </w:p>
    <w:p>
      <w:pPr>
        <w:pStyle w:val="ListBullet"/>
        <w:spacing w:after="80"/>
      </w:pPr>
      <w:r>
        <w:rPr>
          <w:sz w:val="21"/>
        </w:rPr>
        <w:t>East shows the most consistent YoY growth (+19.5%, +16.3%, +18.0% every year); Central and South each had a year of double-digit decline.</w:t>
      </w:r>
    </w:p>
    <w:p>
      <w:pPr>
        <w:pStyle w:val="ListBullet"/>
        <w:spacing w:after="80"/>
      </w:pPr>
      <w:r>
        <w:rPr>
          <w:sz w:val="21"/>
        </w:rPr>
        <w:t>Average order-to-ship time is ~4.0 days and barely varies by region (Central slowest at 4.06 days, East fastest at 3.91 days).</w:t>
      </w:r>
    </w:p>
    <w:p>
      <w:pPr>
        <w:pStyle w:val="ListBullet"/>
        <w:spacing w:after="80"/>
      </w:pPr>
      <w:r>
        <w:rPr>
          <w:sz w:val="21"/>
        </w:rPr>
        <w:t>Sales consistently spike in September and November, and dip in Jan/Feb — tied to back-to-school buying and Black Friday/holiday promotions.</w:t>
      </w:r>
    </w:p>
    <w:p>
      <w:pPr>
        <w:spacing w:before="160" w:after="80"/>
      </w:pPr>
      <w:r>
        <w:rPr>
          <w:b/>
          <w:color w:val="2F6F6D"/>
          <w:sz w:val="24"/>
        </w:rPr>
        <w:t>Forecasting Model Performance</w:t>
      </w:r>
    </w:p>
    <w:p>
      <w:pPr>
        <w:spacing w:after="140"/>
      </w:pPr>
      <w:r>
        <w:rPr>
          <w:b w:val="0"/>
          <w:i w:val="0"/>
          <w:sz w:val="21"/>
        </w:rPr>
        <w:t>Three models were compared on a common 3-month holdout window: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MAE ($)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RMSE ($)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MAPE (%)</w:t>
            </w:r>
          </w:p>
        </w:tc>
      </w:tr>
      <w:tr>
        <w:tc>
          <w:tcPr>
            <w:tcW w:type="dxa" w:w="2412"/>
          </w:tcPr>
          <w:p>
            <w:r>
              <w:t>SARIMA (statistical)</w:t>
            </w:r>
          </w:p>
        </w:tc>
        <w:tc>
          <w:tcPr>
            <w:tcW w:type="dxa" w:w="2412"/>
          </w:tcPr>
          <w:p>
            <w:r>
              <w:t>13,337</w:t>
            </w:r>
          </w:p>
        </w:tc>
        <w:tc>
          <w:tcPr>
            <w:tcW w:type="dxa" w:w="2412"/>
          </w:tcPr>
          <w:p>
            <w:r>
              <w:t>13,340</w:t>
            </w:r>
          </w:p>
        </w:tc>
        <w:tc>
          <w:tcPr>
            <w:tcW w:type="dxa" w:w="2412"/>
          </w:tcPr>
          <w:p>
            <w:r>
              <w:t>14.8%</w:t>
            </w:r>
          </w:p>
        </w:tc>
      </w:tr>
      <w:tr>
        <w:tc>
          <w:tcPr>
            <w:tcW w:type="dxa" w:w="2412"/>
          </w:tcPr>
          <w:p>
            <w:r>
              <w:t>Prophet (Facebook)</w:t>
            </w:r>
          </w:p>
        </w:tc>
        <w:tc>
          <w:tcPr>
            <w:tcW w:type="dxa" w:w="2412"/>
          </w:tcPr>
          <w:p>
            <w:r>
              <w:t>20,296</w:t>
            </w:r>
          </w:p>
        </w:tc>
        <w:tc>
          <w:tcPr>
            <w:tcW w:type="dxa" w:w="2412"/>
          </w:tcPr>
          <w:p>
            <w:r>
              <w:t>22,487</w:t>
            </w:r>
          </w:p>
        </w:tc>
        <w:tc>
          <w:tcPr>
            <w:tcW w:type="dxa" w:w="2412"/>
          </w:tcPr>
          <w:p>
            <w:r>
              <w:t>21.9%</w:t>
            </w:r>
          </w:p>
        </w:tc>
      </w:tr>
      <w:tr>
        <w:tc>
          <w:tcPr>
            <w:tcW w:type="dxa" w:w="2412"/>
          </w:tcPr>
          <w:p>
            <w:r>
              <w:t>XGBoost (ML)</w:t>
            </w:r>
          </w:p>
        </w:tc>
        <w:tc>
          <w:tcPr>
            <w:tcW w:type="dxa" w:w="2412"/>
          </w:tcPr>
          <w:p>
            <w:r>
              <w:t>54,130</w:t>
            </w:r>
          </w:p>
        </w:tc>
        <w:tc>
          <w:tcPr>
            <w:tcW w:type="dxa" w:w="2412"/>
          </w:tcPr>
          <w:p>
            <w:r>
              <w:t>58,598</w:t>
            </w:r>
          </w:p>
        </w:tc>
        <w:tc>
          <w:tcPr>
            <w:tcW w:type="dxa" w:w="2412"/>
          </w:tcPr>
          <w:p>
            <w:r>
              <w:t>56.1%</w:t>
            </w:r>
          </w:p>
        </w:tc>
      </w:tr>
    </w:tbl>
    <w:p>
      <w:pPr>
        <w:spacing w:after="140"/>
      </w:pPr>
      <w:r>
        <w:rPr>
          <w:b w:val="0"/>
          <w:i w:val="0"/>
          <w:sz w:val="21"/>
        </w:rPr>
        <w:t>Recommendation: deploy SARIMA — its MAPE (14.8%) is far below Prophet (21.9%) and XGBoost (56.1%). XGBoost underperforms because 45 monthly training points are too few for a tree model to learn robust seasonal patterns; SARIMA's explicit seasonal term fits this data size better. SARIMA powers the Forecast Explorer dashboard.</w:t>
      </w:r>
    </w:p>
    <w:p>
      <w:pPr>
        <w:spacing w:before="160" w:after="80"/>
      </w:pPr>
      <w:r>
        <w:rPr>
          <w:b/>
          <w:color w:val="2F6F6D"/>
          <w:sz w:val="24"/>
        </w:rPr>
        <w:t>3-Month Sales Forecast</w:t>
      </w:r>
    </w:p>
    <w:p>
      <w:pPr>
        <w:spacing w:after="140"/>
      </w:pPr>
      <w:r>
        <w:rPr>
          <w:b w:val="0"/>
          <w:i w:val="0"/>
          <w:sz w:val="21"/>
        </w:rPr>
        <w:t>SARIMA projects $64,500 (M1), $104,300 (M2), $96,400 (M3) — a sharp step-up from M1 to M2 consistent with the Sept/Nov seasonal pattern. Based on historical error (MAE/RMSE ~$13,300), a reasonable planning range is ±$13,000-$20,000 per month. Staff and stock for the M2 peak specifically rather than assuming flat demand.</w:t>
      </w:r>
    </w:p>
    <w:p>
      <w:pPr>
        <w:spacing w:before="320" w:after="120"/>
      </w:pPr>
      <w:r>
        <w:rPr>
          <w:b/>
          <w:color w:val="1F3A5F"/>
          <w:sz w:val="30"/>
        </w:rPr>
        <w:t>Top Anomalies Detected</w:t>
      </w:r>
    </w:p>
    <w:p>
      <w:pPr>
        <w:spacing w:after="140"/>
      </w:pPr>
      <w:r>
        <w:rPr>
          <w:b w:val="0"/>
          <w:i w:val="0"/>
          <w:sz w:val="21"/>
        </w:rPr>
        <w:t>Isolation Forest (compares a week to the full history of that calendar period) flagged 11 unusual weeks; a rolling Z-score (compares only to the recent 4-week average) flagged effectively none — its baseline adjusts upward during a seasonal climb and masks the spike. For promotional, seasonal data, a calendar-aware method is more reliable.</w:t>
      </w:r>
    </w:p>
    <w:p>
      <w:pPr>
        <w:pStyle w:val="ListBullet"/>
        <w:spacing w:after="80"/>
      </w:pPr>
      <w:r>
        <w:rPr>
          <w:sz w:val="21"/>
        </w:rPr>
        <w:t>Early-to-mid 2015 — ~$37,500, the largest anomaly in the dataset (~4x typical). Likely an early one-off bulk/corporate order.</w:t>
      </w:r>
    </w:p>
    <w:p>
      <w:pPr>
        <w:pStyle w:val="ListBullet"/>
        <w:spacing w:after="80"/>
      </w:pPr>
      <w:r>
        <w:rPr>
          <w:sz w:val="21"/>
        </w:rPr>
        <w:t>December 2018 — ~$36,000. Likely end-of-year holiday demand.</w:t>
      </w:r>
    </w:p>
    <w:p>
      <w:pPr>
        <w:pStyle w:val="ListBullet"/>
        <w:spacing w:after="80"/>
      </w:pPr>
      <w:r>
        <w:rPr>
          <w:sz w:val="21"/>
        </w:rPr>
        <w:t>November 2018 — ~$30,500, immediately preceding the December spike. Likely Black Friday/Thanksgiving promotions.</w:t>
      </w:r>
    </w:p>
    <w:p>
      <w:pPr>
        <w:spacing w:before="320" w:after="120"/>
      </w:pPr>
      <w:r>
        <w:rPr>
          <w:b/>
          <w:color w:val="1F3A5F"/>
          <w:sz w:val="30"/>
        </w:rPr>
        <w:t>Product Demand Segmentation &amp; Stocking Strategy</w:t>
      </w:r>
    </w:p>
    <w:p>
      <w:pPr>
        <w:spacing w:after="140"/>
      </w:pPr>
      <w:r>
        <w:rPr>
          <w:b w:val="0"/>
          <w:i w:val="0"/>
          <w:sz w:val="21"/>
        </w:rPr>
        <w:t>17 sub-categories were grouped into 5 demand tiers by volume, growth rate, and volatility. 47% of revenue ($1.07M of $2.26M) sits in 'High Volume, High Volatility' — the single most important input for inventory planning.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Sub-Categories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Stocking Strategy</w:t>
            </w:r>
          </w:p>
        </w:tc>
      </w:tr>
      <w:tr>
        <w:tc>
          <w:tcPr>
            <w:tcW w:type="dxa" w:w="3216"/>
          </w:tcPr>
          <w:p>
            <w:r>
              <w:t>High Vol., High Volatility (47.4%)</w:t>
            </w:r>
          </w:p>
        </w:tc>
        <w:tc>
          <w:tcPr>
            <w:tcW w:type="dxa" w:w="3216"/>
          </w:tcPr>
          <w:p>
            <w:r>
              <w:t>Chairs, Phones, Storage, Tables</w:t>
            </w:r>
          </w:p>
        </w:tc>
        <w:tc>
          <w:tcPr>
            <w:tcW w:type="dxa" w:w="3216"/>
          </w:tcPr>
          <w:p>
            <w:r>
              <w:t>Priority tier: higher safety stock, monitor individually, weekly (not monthly) replenishment.</w:t>
            </w:r>
          </w:p>
        </w:tc>
      </w:tr>
      <w:tr>
        <w:tc>
          <w:tcPr>
            <w:tcW w:type="dxa" w:w="3216"/>
          </w:tcPr>
          <w:p>
            <w:r>
              <w:t>Growing Demand (34.5%)</w:t>
            </w:r>
          </w:p>
        </w:tc>
        <w:tc>
          <w:tcPr>
            <w:tcW w:type="dxa" w:w="3216"/>
          </w:tcPr>
          <w:p>
            <w:r>
              <w:t>Accessories, Appliances, Binders, Copiers, Furnishings, Paper</w:t>
            </w:r>
          </w:p>
        </w:tc>
        <w:tc>
          <w:tcPr>
            <w:tcW w:type="dxa" w:w="3216"/>
          </w:tcPr>
          <w:p>
            <w:r>
              <w:t>Increase stock ahead of trend; flexible supplier terms — stockout costlier than overstock.</w:t>
            </w:r>
          </w:p>
        </w:tc>
      </w:tr>
      <w:tr>
        <w:tc>
          <w:tcPr>
            <w:tcW w:type="dxa" w:w="3216"/>
          </w:tcPr>
          <w:p>
            <w:r>
              <w:t>Declining Demand (9.1%)</w:t>
            </w:r>
          </w:p>
        </w:tc>
        <w:tc>
          <w:tcPr>
            <w:tcW w:type="dxa" w:w="3216"/>
          </w:tcPr>
          <w:p>
            <w:r>
              <w:t>Envelopes, Machines</w:t>
            </w:r>
          </w:p>
        </w:tc>
        <w:tc>
          <w:tcPr>
            <w:tcW w:type="dxa" w:w="3216"/>
          </w:tcPr>
          <w:p>
            <w:r>
              <w:t>Wind down commitments; consider clearance. Machines combines high volatility + negative growth (-11%).</w:t>
            </w:r>
          </w:p>
        </w:tc>
      </w:tr>
      <w:tr>
        <w:tc>
          <w:tcPr>
            <w:tcW w:type="dxa" w:w="3216"/>
          </w:tcPr>
          <w:p>
            <w:r>
              <w:t>High Vol., Stable (5.0%)</w:t>
            </w:r>
          </w:p>
        </w:tc>
        <w:tc>
          <w:tcPr>
            <w:tcW w:type="dxa" w:w="3216"/>
          </w:tcPr>
          <w:p>
            <w:r>
              <w:t>Bookcases</w:t>
            </w:r>
          </w:p>
        </w:tc>
        <w:tc>
          <w:tcPr>
            <w:tcW w:type="dxa" w:w="3216"/>
          </w:tcPr>
          <w:p>
            <w:r>
              <w:t>Simple reorder-point model; minimal safety stock.</w:t>
            </w:r>
          </w:p>
        </w:tc>
      </w:tr>
      <w:tr>
        <w:tc>
          <w:tcPr>
            <w:tcW w:type="dxa" w:w="3216"/>
          </w:tcPr>
          <w:p>
            <w:r>
              <w:t>Low Vol., Stable (3.9%)</w:t>
            </w:r>
          </w:p>
        </w:tc>
        <w:tc>
          <w:tcPr>
            <w:tcW w:type="dxa" w:w="3216"/>
          </w:tcPr>
          <w:p>
            <w:r>
              <w:t>Art, Fasteners, Labels, Supplies</w:t>
            </w:r>
          </w:p>
        </w:tc>
        <w:tc>
          <w:tcPr>
            <w:tcW w:type="dxa" w:w="3216"/>
          </w:tcPr>
          <w:p>
            <w:r>
              <w:t>Small, infrequent batches; avoid tying up capital.</w:t>
            </w:r>
          </w:p>
        </w:tc>
      </w:tr>
    </w:tbl>
    <w:p>
      <w:pPr>
        <w:spacing w:before="320" w:after="120"/>
      </w:pPr>
      <w:r>
        <w:rPr>
          <w:b/>
          <w:color w:val="1F3A5F"/>
          <w:sz w:val="30"/>
        </w:rPr>
        <w:t>Business Recommendations</w:t>
      </w:r>
    </w:p>
    <w:p>
      <w:pPr>
        <w:pStyle w:val="ListBullet"/>
        <w:spacing w:after="80"/>
      </w:pPr>
      <w:r>
        <w:rPr>
          <w:sz w:val="21"/>
        </w:rPr>
        <w:t>Give the High Volume, High Volatility tier (47% of revenue) its own inventory policy — higher safety stock, per-item monitoring, faster replenishment. This is the single biggest inventory risk surfaced by this analysis.</w:t>
      </w:r>
    </w:p>
    <w:p>
      <w:pPr>
        <w:pStyle w:val="ListBullet"/>
        <w:spacing w:after="80"/>
      </w:pPr>
      <w:r>
        <w:rPr>
          <w:sz w:val="21"/>
        </w:rPr>
        <w:t>Prioritize Technology category planning — largest revenue category (36.6%) and strongest projected growth over the next 3 months.</w:t>
      </w:r>
    </w:p>
    <w:p>
      <w:pPr>
        <w:pStyle w:val="ListBullet"/>
        <w:spacing w:after="80"/>
      </w:pPr>
      <w:r>
        <w:rPr>
          <w:sz w:val="21"/>
        </w:rPr>
        <w:t>Set a standing weekly anomaly check using Isolation Forest (not rolling Z-score, which missed the same spikes) to catch unusual weeks in near-real time.</w:t>
      </w:r>
    </w:p>
    <w:p>
      <w:pPr>
        <w:spacing w:before="320" w:after="120"/>
      </w:pPr>
      <w:r>
        <w:rPr>
          <w:b/>
          <w:color w:val="1F3A5F"/>
          <w:sz w:val="30"/>
        </w:rPr>
        <w:t>Risk &amp; Limitation</w:t>
      </w:r>
    </w:p>
    <w:p>
      <w:pPr>
        <w:spacing w:after="140"/>
      </w:pPr>
      <w:r>
        <w:rPr>
          <w:b w:val="0"/>
          <w:i w:val="0"/>
          <w:sz w:val="21"/>
        </w:rPr>
        <w:t>All three models assume next quarter behaves structurally like the past 4 years — they will not anticipate a genuinely new shock (new competitor, supply disruption, macro downturn) with no precedent in the training window. Treat forecasts as a data-informed starting point, and revisit monthly as new actuals arrive.</w:t>
      </w:r>
    </w:p>
    <w:p>
      <w:pPr>
        <w:spacing w:before="160"/>
      </w:pPr>
      <w:r>
        <w:rPr>
          <w:i/>
          <w:color w:val="555555"/>
          <w:sz w:val="16"/>
        </w:rPr>
        <w:t>Prepared as part of the End-to-End Sales Forecasting &amp; Demand Intelligence internship project.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