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Georgia" w:cs="Georgia" w:eastAsia="Georgia" w:hAnsi="Georgia"/>
          <w:caps/>
          <w:color w:val="B8A98A"/>
          <w:spacing w:val="80"/>
          <w:sz w:val="20"/>
          <w:szCs w:val="20"/>
        </w:rPr>
        <w:t xml:space="preserve">CHAPTER TEN</w:t>
      </w:r>
    </w:p>
    <w:p>
      <w:pPr>
        <w:spacing w:after="0" w:before="0"/>
        <w:jc w:val="center"/>
      </w:pPr>
      <w:r>
        <w:rPr>
          <w:rFonts w:ascii="Georgia" w:cs="Georgia" w:eastAsia="Georgia" w:hAnsi="Georgia"/>
          <w:color w:val="1A1A18"/>
          <w:sz w:val="56"/>
          <w:szCs w:val="56"/>
        </w:rPr>
        <w:t xml:space="preserve">The Slippery Business</w:t>
      </w:r>
    </w:p>
    <w:p>
      <w:pPr>
        <w:spacing w:after="480" w:before="0"/>
        <w:jc w:val="center"/>
      </w:pPr>
      <w:r>
        <w:rPr>
          <w:rFonts w:ascii="Georgia" w:cs="Georgia" w:eastAsia="Georgia" w:hAnsi="Georgia"/>
          <w:i/>
          <w:iCs/>
          <w:color w:val="2C5F6E"/>
          <w:sz w:val="56"/>
          <w:szCs w:val="56"/>
        </w:rPr>
        <w:t xml:space="preserve">of Surfaces</w:t>
      </w:r>
    </w:p>
    <w:p>
      <w:pPr>
        <w:spacing w:after="240" w:before="0"/>
      </w:pPr>
      <w:r>
        <w:t xml:space="preserve"/>
      </w:r>
    </w:p>
    <w:p>
      <w:pPr>
        <w:spacing w:after="0" w:before="0" w:line="480"/>
        <w:ind/>
        <w:jc w:val="both"/>
      </w:pPr>
      <w:r>
        <w:rPr>
          <w:rFonts w:ascii="Georgia" w:cs="Georgia" w:eastAsia="Georgia" w:hAnsi="Georgia"/>
          <w:sz w:val="24"/>
          <w:szCs w:val="24"/>
        </w:rPr>
        <w:t xml:space="preserve">Science that only lives in a laboratory is incomplete.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test of a genuine phenomenon — beyond whether it survives replication, beyond whether the theoretical debate resolves, beyond whether eleven independent research groups confirm it — is whether it does work in the world. Whether engineers can pick it up and build something with it. Whether the understanding of how water behaves near surfaces translates into something that matters outside a university building.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exclusion zone passes that test. Not perfectly. Not yet completely. But substantially and in ways that are actively changing how we approach three of the most consequential engineering problems of our time.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chapter is about those three problems. And about the honest distance between what laboratory science has established and what the world outside the laboratory has so far built with it.</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There is a destroyer in the United States Navy called the Arleigh Burke class. It is 505 feet long, displaces nearly 9,000 tons, and costs approximately two billion dollars to build. The Navy operates 73 of them.</w:t>
      </w:r>
    </w:p>
    <w:p>
      <w:pPr>
        <w:spacing w:after="120" w:before="0"/>
      </w:pPr>
      <w:r>
        <w:t xml:space="preserve"/>
      </w:r>
    </w:p>
    <w:p>
      <w:pPr>
        <w:spacing w:after="0" w:before="0" w:line="480"/>
        <w:ind w:firstLine="720"/>
        <w:jc w:val="both"/>
      </w:pPr>
      <w:r>
        <w:rPr>
          <w:rFonts w:ascii="Georgia" w:cs="Georgia" w:eastAsia="Georgia" w:hAnsi="Georgia"/>
          <w:sz w:val="24"/>
          <w:szCs w:val="24"/>
        </w:rPr>
        <w:t xml:space="preserve">Every one of them has a problem that has nothing to do with weapons systems or navigation or engine reliability. Every one of them is being slowly colonized by life.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Within hours of a ship entering the water — any ship, anywhere — bacteria begin settling on the hull. They secrete a sticky matrix of proteins and polysaccharides that anchors them to the surface and protects them from the flow of water across the hull. This initial biofilm is invisible. Within days it has attracted other microorganisms. Within weeks the biofilm has grown thick enough to alter the surface texture of the hull measurably. Within months — in warm productive waters — macroscopic organisms arrive. Barnacles. Tube worms. Mussels. Algae. A hull that entered the water clean and smooth is now carrying hundreds of kilograms of living material and the hydrodynamics of the ship have changed fundamentally.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drag increases. The engines work harder to maintain speed. The fuel consumption rises. For the DDG-51 class destroyer the economic analysis is precise and published — hull fouling costs the Navy approximately $56 million per year for the entire class, or $1 billion over fifteen years. That is for one class of ship in one navy.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Scale it to global shipping — the industry that carries approximately 80 percent of all goods traded internationally — and the numbers become extraordinary. Biofouling increases the frictional resistance of a ship's hull by 15 to 20 percent for a given speed. The US shipping industry alone spends more than $36 billion annually in added fuel costs and anti-fouling paint to manage this problem. Global marine biofouling costs exceed $15 billion per year for the marine industry alone. The anti-fouling coatings market — the paints and treatments applied to hulls specifically to prevent biological accumulation — is worth approximately $23 billion annually.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is the economic weight of organisms growing on wet surfaces.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environmental consequences follow directly. More fuel burned means more emissions — biofouling is estimated to contribute to a 15 to 20 percent increase in carbon dioxide and sulfur dioxide emissions from shipping relative to what clean hulls would produce. And there is a second environmental problem. Biofouled hulls carry invasive species from one ocean to another — organisms that hitched a ride on a hull in the Pacific arriving in the Atlantic, establishing themselves in ecosystems where they have no natural predators, disrupting the ecology of waters thousands of miles from where they first settled.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same problem exists at a smaller scale with larger consequences for individual human beings. A catheter placed in a patient's vein begins accumulating a bacterial biofilm within hours. That biofilm is the primary mechanism by which catheter-associated bloodstream infections develop — one of the most common and costly hospital-acquired infections, responsible for tens of thousands of deaths annually in the United States alone. Medical implants face the same challenge. Artificial joints. Heart valves. Cochlear implants. Any surface introduced into a biological fluid environment initiates the biofouling process immediately and the consequences of failure are measured in lives rather than dollars.</w:t>
      </w:r>
    </w:p>
    <w:p>
      <w:pPr>
        <w:spacing w:after="120" w:before="0"/>
      </w:pPr>
      <w:r>
        <w:t xml:space="preserve"/>
      </w:r>
    </w:p>
    <w:p>
      <w:pPr>
        <w:pBdr>
          <w:left w:val="single" w:color="2C5F6E" w:sz="12" w:space="12"/>
        </w:pBdr>
        <w:spacing w:after="360" w:before="360" w:line="360"/>
        <w:ind w:left="720" w:right="720"/>
        <w:jc w:val="left"/>
      </w:pPr>
      <w:r>
        <w:rPr>
          <w:rFonts w:ascii="Georgia" w:cs="Georgia" w:eastAsia="Georgia" w:hAnsi="Georgia"/>
          <w:i/>
          <w:iCs/>
          <w:color w:val="2C5F6E"/>
          <w:sz w:val="26"/>
          <w:szCs w:val="26"/>
        </w:rPr>
        <w:t xml:space="preserve">The connection to surface water behavior is precise. Biofouling begins with water. Before any organism can adhere to a surface the surface must first interact with the aqueous environment surrounding it.</w:t>
      </w:r>
    </w:p>
    <w:p>
      <w:pPr>
        <w:spacing w:after="240" w:before="0"/>
      </w:pPr>
      <w:r>
        <w:t xml:space="preserve"/>
      </w:r>
    </w:p>
    <w:p>
      <w:pPr>
        <w:spacing w:after="0" w:before="0" w:line="480"/>
        <w:ind w:firstLine="720"/>
        <w:jc w:val="both"/>
      </w:pPr>
      <w:r>
        <w:rPr>
          <w:rFonts w:ascii="Georgia" w:cs="Georgia" w:eastAsia="Georgia" w:hAnsi="Georgia"/>
          <w:sz w:val="24"/>
          <w:szCs w:val="24"/>
        </w:rPr>
        <w:t xml:space="preserve">The initial attachment of bacteria — before the biofilm forms, before the macroscopic organisms arrive — depends on the character of that interaction. How the surface attracts or repels water. What the water in the zone immediately adjacent to the surface looks like. Whether the conditions at that interface favor or disfavor the first molecular foothold.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exclusion zone is what the water in that zone looks like. The Elton review — the most thorough independent assessment of exclusion zone science currently in the literature — explicitly identifies reducing biofouling as one of the important potential engineering applications of EZ phenomena. Research groups are actively exploring whether surfaces engineered to produce specific exclusion zone behavior can prevent or significantly reduce initial bacterial adhesion without toxic chemical treatments.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work is at the research and early engineering stage. No anti-fouling coating has gone to market with exclusion zone science specifically on the label. What has happened is more foundational and ultimately more important — the understanding that surface water behavior controls initial adhesion is now guiding the design of a new generation of anti-fouling surfaces. The phenomenon is the science. The engineering is catching up.</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Two billion people on Earth do not have reliable access to safe drinking water.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number is so large it resists comprehension. Try it a different way. If everyone without safe water were a nation it would be the most populous nation on Earth — larger than China, larger than India. Waterborne diseases — cholera, typhoid, dysentery, a dozen others — kill hundreds of thousands of people annually, disproportionately children under five. The infrastructure gap between wealthy and poor nations is not measured in inconvenience. It is measured in lives.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Conventional water filtration works. It works extremely well in the contexts where it has been deployed. Membrane filtration, chemical treatment, reverse osmosis — these technologies produce reliably clean water at scale. They also require infrastructure, energy, trained operators, and supply chains for chemical inputs. In remote or low-income settings these requirements are frequently not met. The technology exists. The deployment conditions often don't.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exclusion zone suggests a different approach.</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Water near a hydrophilic surface excludes particles and dissolved substances passively. No pressure required beyond what the surface itself provides. No chemical inputs. No energy source beyond what ambient conditions — including sunlight and its infrared component that we know grows the exclusion zone — supply. The phenomenon that pushes microspheres away from Nafion in a laboratory, that builds a zone of remarkable purity adjacent to every hydrophilic surface it encounters, operates without being asked to and without being powered by anything external.</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If that exclusion behavior can be harnessed at scale — if surfaces can be designed and deployed that use the passive exclusion of contaminants from the zone adjacent to them as a filtration mechanism — the result would be a purification approach that requires minimal infrastructure and no ongoing chemical inputs. Water flowing past the right surface, under the right conditions, emerging cleaner on the other side by virtue of physics that has always been operating and that we are only now beginning to understand well enough to use deliberately.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Research groups are pursuing this. The basic mechanism is confirmed and the engineering challenge is real — scaling from laboratory samples to systems that can handle the volumes of water that a community requires is not a small problem. Surface area, flow rates, regeneration of the exclusion zone under continuous use — these are engineering questions that laboratory science has not yet fully answered. The work is ongoing. The confirmation that the phenomenon exists and behaves predictably is the foundation it is being built 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 note this carefully. No commercial product is currently deploying exclusion zone-based filtration at scale. The connection between the science and the application is at the research stage. We say this because the book's credibility — which we have been building carefully across ten chapters — requires naming the distance between confirmed phenomenon and deployed solution. The distance is real. The direction is clear.</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Hold a home pregnancy test in your mind for a moment.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small plastic device. A drop of urine. A result in minutes. No laboratory. No centrifuge. No trained technician. A device that performs a biochemical analysis with sufficient accuracy to change the course of a person's life, in any bathroom, anywhere on Earth, for a few dollars.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technology that makes this possible is microfluidics. And microfluidics is, at its foundation, the engineering of how fluids behave near surfaces at very small scales.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microfluidic channel is a precisely manufactured groove, typically etched into a chip of glass or polymer, through which tiny volumes of liquid flow under controlled conditions. The channels are measured in micrometers — the same scale as the exclusion zone we have been examining throughout this book. Sample volumes are measured in microliters or nanoliters. The entire analytical process — sample introduction, mixing, separation, detection — happens within a device small enough to hold in one hand.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Lab-on-a-chip devices built on these principles have already been commercialized for applications that would have seemed extraordinary twenty years ago. Glucose monitoring for diabetic patients. HIV detection requiring a drop of blood and producing a result in minutes. Cardiac troponin testing — the blood test that determines whether someone is having a heart attack — in a portable device that can be used in an ambulance or a rural clinic without access to a hospital laboratory. Portable devices that can detect nucleic acids in blood, identify pathogens, quantify proteins. The sample-in answer-out vision that microfluidics researchers have been pursuing for decades is becoming real.</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Here is why surface water behavior is not peripheral to this technology but central to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At the scale of a kitchen tap gravity and pressure dominate fluid behavior. Pour water and it falls. Pressurize a pipe and the water moves. The forces that matter at everyday scales are bulk forces — they act on the entire volume of the fluid.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At the scale of a microfluidic channel this changes fundamentally. A channel 200 micrometers wide has a surface-to-volume ratio approximately 1,000 times greater than a pipe one centimeter wide. The forces that act on the fluid at the surface — surface tension, surface chemistry, the behavior of water in the zone immediately adjacent to the channel wall — become dominant over the bulk forces that govern fluid behavior at larger scales. The smaller the channel the more the surface controls everything.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exclusion zone is not negligible at this scale. A zone 200 micrometers wide — well within the range we confirmed in Chapters 3 and 4 — is comparable to the entire width of a microfluidic channel. In a narrow channel the exclusion zones from opposite walls approach each other. The water filling the channel is not uniform bulk water. It is substantially influenced by the surfaces bounding it, in ways that affect its viscosity, its charge, its behavior when particles or dissolved molecules are introduced.</w:t>
      </w:r>
    </w:p>
    <w:p>
      <w:pPr>
        <w:spacing w:after="120" w:before="0"/>
      </w:pPr>
      <w:r>
        <w:t xml:space="preserve"/>
      </w:r>
    </w:p>
    <w:p>
      <w:pPr>
        <w:pBdr>
          <w:left w:val="single" w:color="2C5F6E" w:sz="12" w:space="12"/>
        </w:pBdr>
        <w:spacing w:after="360" w:before="360" w:line="360"/>
        <w:ind w:left="720" w:right="720"/>
        <w:jc w:val="left"/>
      </w:pPr>
      <w:r>
        <w:rPr>
          <w:rFonts w:ascii="Georgia" w:cs="Georgia" w:eastAsia="Georgia" w:hAnsi="Georgia"/>
          <w:i/>
          <w:iCs/>
          <w:color w:val="2C5F6E"/>
          <w:sz w:val="26"/>
          <w:szCs w:val="26"/>
        </w:rPr>
        <w:t xml:space="preserve">Understanding surface water behavior is not an academic exercise for the engineers building the next generation of diagnostic devices. It is directly relevant to whether their channels produce reliable results — or fail in ways that are difficult to diagnose.</w:t>
      </w:r>
    </w:p>
    <w:p>
      <w:pPr>
        <w:spacing w:after="240" w:before="0"/>
      </w:pPr>
      <w:r>
        <w:t xml:space="preserve"/>
      </w:r>
    </w:p>
    <w:p>
      <w:pPr>
        <w:spacing w:after="0" w:before="0" w:line="480"/>
        <w:ind w:firstLine="720"/>
        <w:jc w:val="both"/>
      </w:pPr>
      <w:r>
        <w:rPr>
          <w:rFonts w:ascii="Georgia" w:cs="Georgia" w:eastAsia="Georgia" w:hAnsi="Georgia"/>
          <w:sz w:val="24"/>
          <w:szCs w:val="24"/>
        </w:rPr>
        <w:t xml:space="preserve">Microfluidic engineers have known empirically for decades that surface chemistry matters enormously to whether their devices work reliably. What they have not always had is a detailed physical description of why — of what is actually happening to the water at the channel wall that makes it behave so differently from bulk water predictions. The exclusion zone, whatever its ultimate theoretical explanation, is that description. It is the most complete account currently available of what surface water actually looks like and how it behaves.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Understanding it more fully is not an academic exercise for the engineers building the next generation of diagnostic devices. It is directly relevant to whether channels of a given geometry and surface chemistry will produce reliable separations, accurate measurements, and consistent results — or whether they will fail in ways that are difficult to diagnose because the behavior of water near surfaces has been treated as a boundary condition rather than a phenomenon in its own right.</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A skeptic reading this chapter deserves an honest accounting.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exclusion zone has important potential engineering applications in biofouling prevention, water filtration, and microfluidics. That sentence appears in the most rigorous independent review of exclusion zone science currently available. It is not hype. It is a measured assessment from researchers who spent considerable effort also identifying the limitations of the field.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word potential is doing real work in that sentence.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 anti-fouling coating has been specifically engineered using exclusion zone properties and brought to market. No water filtration system is currently deployed at scale using EZ-based passive exclusion. Microfluidic devices work — impressively, consequentially, in ways that are saving lives — but their designers did not sit down with a theory of the exclusion zone and derive their channel geometries from first principles. They used empirical surface engineering, trial and error, and a body of practical knowledge about how surfaces behave in microfluidic contexts that has been accumulating for decades.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What the exclusion zone science adds to these fields is understanding. The ability to explain why certain surface chemistries produce better results than others. The theoretical framework for predicting how changes to surface properties will affect fluid behavior at small scales. The physical picture of what is happening at the interface between water and solid that has been missing from the engineering literature and that makes the empirical findings of decades of practical work interpretable at a mechanistic level.</w:t>
      </w:r>
    </w:p>
    <w:p>
      <w:pPr>
        <w:spacing w:after="120" w:before="0"/>
      </w:pPr>
      <w:r>
        <w:t xml:space="preserve"/>
      </w:r>
    </w:p>
    <w:p>
      <w:pPr>
        <w:spacing w:after="0" w:before="0" w:line="480"/>
        <w:ind w:firstLine="720"/>
        <w:jc w:val="both"/>
      </w:pPr>
      <w:r>
        <w:rPr>
          <w:rFonts w:ascii="Georgia" w:cs="Georgia" w:eastAsia="Georgia" w:hAnsi="Georgia"/>
          <w:sz w:val="24"/>
          <w:szCs w:val="24"/>
        </w:rPr>
        <w:t xml:space="preserve">Understanding precedes engineering. Always. The understanding of what electricity actually was — electrons moving through conductors under potential difference — came after practical electrical devices were already being built and before the full theoretical framework was complete. The understanding of surface water behavior that the exclusion zone research represents is at that stage. The engineering is running ahead in some areas, behind in others. The understanding is catching up and will, in the coming decades, allow the engineering to be done more precisely, more reliably, and with fewer expensive failures.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is not a modest accomplishment. That is how science works.</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In 2003 a strip of Nafion sat in a glass of water in a laboratory in Seattle. Microspheres retreated from it. A zone formed. Someone noticed.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In 2024 that observation has informed research into ship coatings that could save billions in fuel costs and eliminate the chemical toxins currently used to prevent biofouling. It has pointed toward a passive filtration approach that could provide clean water without infrastructure to the two billion people who currently lack it. It has contributed to the theoretical understanding underlying diagnostic devices that can detect HIV and heart attacks and genetic markers of cancer from a single drop of blood in a remote clinic with no laboratory equipment.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distance from a strip of plastic in a glass of water to those outcomes is short. Shorter than it looks. That is the normal distance between a careful observation and the world it eventually changes.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Section V of this book is about what happens when that distance gets impatient. When the space between confirmed phenomenon and world-changing application gets filled not by careful engineering and honest research but by products that skip the science entirely and go straight to the claim.</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 have watched the phenomenon be real and confirmed. We have watched it be debated honestly. We have watched it do genuine work in the world.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Now we watch it get stolen.</w:t>
      </w:r>
    </w:p>
    <w:p>
      <w:pPr>
        <w:spacing w:after="720" w:before="0"/>
      </w:pPr>
      <w:r>
        <w:t xml:space="preserve"/>
      </w:r>
    </w:p>
    <w:p>
      <w:pPr>
        <w:spacing w:after="0" w:before="0"/>
        <w:jc w:val="center"/>
      </w:pPr>
      <w:r>
        <w:rPr>
          <w:rFonts w:ascii="Georgia" w:cs="Georgia" w:eastAsia="Georgia" w:hAnsi="Georgia"/>
          <w:color w:val="B8A98A"/>
          <w:sz w:val="24"/>
          <w:szCs w:val="24"/>
        </w:rPr>
        <w:t xml:space="preserve">· · ·</w:t>
      </w:r>
    </w:p>
    <w:sectPr>
      <w:footerReference w:type="default" r:id="rId7"/>
      <w:pgSz w:w="11520" w:h="1728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2026-05-28T17:26:29.486Z</dcterms:created>
  <dcterms:modified xsi:type="dcterms:W3CDTF">2026-05-28T17:26:29.486Z</dcterms:modified>
</cp:coreProperties>
</file>

<file path=docProps/custom.xml><?xml version="1.0" encoding="utf-8"?>
<Properties xmlns="http://schemas.openxmlformats.org/officeDocument/2006/custom-properties" xmlns:vt="http://schemas.openxmlformats.org/officeDocument/2006/docPropsVTypes"/>
</file>