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14</w:t>
      </w:r>
    </w:p>
    <w:p>
      <w:pPr>
        <w:spacing w:after="120"/>
        <w:jc w:val="left"/>
      </w:pPr>
      <w:r>
        <w:rPr>
          <w:rFonts w:ascii="Georgia" w:cs="Georgia" w:eastAsia="Georgia" w:hAnsi="Georgia"/>
          <w:b/>
          <w:bCs/>
          <w:i/>
          <w:iCs/>
          <w:color w:val="1a1a1a"/>
          <w:sz w:val="40"/>
          <w:szCs w:val="40"/>
        </w:rPr>
        <w:t xml:space="preserve">Dialogue With a Mirror</w:t>
      </w:r>
    </w:p>
    <w:p>
      <w:pPr>
        <w:pBdr>
          <w:bottom w:val="single" w:color="dddddd" w:sz="4" w:space="1"/>
        </w:pBdr>
        <w:spacing w:after="280" w:before="280"/>
      </w:pPr>
    </w:p>
    <w:p>
      <w:pPr>
        <w:spacing w:after="320"/>
        <w:jc w:val="left"/>
      </w:pPr>
      <w:r>
        <w:rPr>
          <w:rFonts w:ascii="Courier New" w:cs="Courier New" w:eastAsia="Courier New" w:hAnsi="Courier New"/>
          <w:caps/>
          <w:color w:val="aaaaaa"/>
          <w:sz w:val="13"/>
          <w:szCs w:val="13"/>
        </w:rPr>
        <w:t xml:space="preserve">Section 14.1 — Two Conversations</w:t>
      </w:r>
    </w:p>
    <w:p>
      <w:pPr>
        <w:spacing w:after="200"/>
        <w:jc w:val="both"/>
      </w:pPr>
      <w:r>
        <w:rPr>
          <w:rFonts w:ascii="Georgia" w:cs="Georgia" w:eastAsia="Georgia" w:hAnsi="Georgia"/>
          <w:color w:val="1a1a1a"/>
          <w:sz w:val="22"/>
          <w:szCs w:val="22"/>
        </w:rPr>
        <w:t xml:space="preserve">Read these two exchanges. Same question. Same AI. Same day.</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Conversation A</w:t>
      </w:r>
    </w:p>
    <w:p>
      <w:pPr>
        <w:spacing w:after="240" w:before="240"/>
        <w:jc w:val="center"/>
      </w:pPr>
      <w:r>
        <w:rPr>
          <w:rFonts w:ascii="Georgia" w:cs="Georgia" w:eastAsia="Georgia" w:hAnsi="Georgia"/>
          <w:color w:val="aaaaaa"/>
          <w:sz w:val="22"/>
          <w:szCs w:val="22"/>
        </w:rPr>
        <w:t xml:space="preserve">* * *</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I've been thinking about changing careers. I'm a teacher and I'm burned out. Should I make a move?</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Career burnout is a serious sign that something needs to change, and it's completely understandable to consider a transition after years in a demanding field like teaching. There are several things worth considering. First, ask yourself whether the burnout is specific to teaching or to your current school environment — sometimes a change of school or grade level can make a significant difference. If you've genuinely exhausted those options, career transition is a legitimate path. Your skills as a teacher — communication, organization, curriculum design, working with diverse groups of people — are highly transferable to fields like instructional design, corporate training, educational technology, human resources, and nonprofit work. Many teachers successfully transition into these areas. The key is identifying which aspects of teaching you want to preserve and which you want to leave behind, then finding a field that keeps the former and eliminates the latter.</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That makes sense. Thanks.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Conversation B</w:t>
      </w:r>
    </w:p>
    <w:p>
      <w:pPr>
        <w:spacing w:after="240" w:before="240"/>
        <w:jc w:val="center"/>
      </w:pPr>
      <w:r>
        <w:rPr>
          <w:rFonts w:ascii="Georgia" w:cs="Georgia" w:eastAsia="Georgia" w:hAnsi="Georgia"/>
          <w:color w:val="aaaaaa"/>
          <w:sz w:val="22"/>
          <w:szCs w:val="22"/>
        </w:rPr>
        <w:t xml:space="preserve">* * *</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I've been thinking about changing careers. I'm a teacher and I'm burned out. Should I make a move?</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Career burnout is a serious sign that something needs to change, and it's completely understandable to consider a transition after years in a demanding field like teaching. There are several things worth considering. First, ask yourself whether the burnout is specific to teaching or to your current school environment — sometimes a change of school or grade level can make a significant difference. If you've genuinely exhausted those options, career transition is a legitimate path. Your skills as a teacher — communication, organization, curriculum design, working with diverse groups of people — are highly transferable to fields like instructional design, corporate training, educational technology, human resources, and nonprofit work. Many teachers successfully transition into these areas. The key is identifying which aspects of teaching you want to preserve and which you want to leave behind, then finding a field that keeps the former and eliminates the latter.</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What assumption is that response making that I haven't verified?</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The response assumes that your burnout is primarily situational — that it's coming from your environment, your school, your workload — rather than from something more fundamental about the kind of work teaching requires. It jumps fairly quickly to the question of which transferable skills you have and where they might be useful, which presupposes that a career change is likely to help. But it never asks whether the things that are burning you out in teaching might follow you into other fields. If the burnout comes from caring deeply about work that feels undervalued, from emotional labor with no recovery time, from the gap between what you want to accomplish and what the system allows — those things exist in other fields too. The response also assumes you have already considered staying in teaching under different conditions, but it doesn't actually verify that.</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You're right that I haven't separated what's specific to teaching from what might follow me. How would I figure that out?</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The most direct way is to get specific about what actually exhausts you rather than staying at the level of 'burnout' as a general feeling. Try listing the moments from the past month that left you most depleted. Not the category — the actual moments. Then look at what they have in common. Is it the specific interactions, the administrative requirements, the loss of autonomy, the emotional weight of particular students' situations, the physical environment, the sense that the work doesn't produce the outcomes you wanted? Some of those things are specific to your current context. Some of them are intrinsic to teaching as a form of work. Some of them would follow you almost anywhere. Once you can see the list, you can start distinguishing between what a different environment might change and what only a different kind of work would change.</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What's the strongest case for staying in teaching rather than leaving?</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The strongest case is that the skills and relationships and hard-won knowledge about how to do the work well are assets you have spent years accumulating, and that accumulation has compounding value in ways that starting over in a new field would reset. The first few years in any demanding new field often produce their own version of burnout — the steep learning curve, the loss of competence you had as an expert, the lower status of being a beginner again. If the burnout you are experiencing is partly driven by feeling undervalued, a career change might temporarily make that worse before it makes it better. There is also the question of what happens to the students and colleagues who depend on good teachers leaving. None of that means you should stay. But the strongest case for staying is that leaving has costs that the idea of leaving tends to make invisible.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Now look at what those two conversations produced.</w:t>
      </w:r>
    </w:p>
    <w:p>
      <w:pPr>
        <w:spacing w:after="200"/>
        <w:jc w:val="both"/>
      </w:pPr>
      <w:r>
        <w:rPr>
          <w:rFonts w:ascii="Georgia" w:cs="Georgia" w:eastAsia="Georgia" w:hAnsi="Georgia"/>
          <w:color w:val="1a1a1a"/>
          <w:sz w:val="22"/>
          <w:szCs w:val="22"/>
        </w:rPr>
        <w:t xml:space="preserve">The person in Conversation A received a thoughtful, well-organized response and accepted it. They left with a list of transferable skills and a mild sense that their situation was understood. They did not examine the response. They did not push on its assumptions. They did not ask what the response was getting wrong. They received what the model's training data said was the most common helpful response to a question about teacher burnout — and it was helpful, in the way that a response that confirms your existing framing is helpful. They came in uncertain about whether to leave. They left slightly more certain that leaving made sense. The model's output did that work. They did not.</w:t>
      </w:r>
    </w:p>
    <w:p>
      <w:pPr>
        <w:spacing w:after="200"/>
        <w:jc w:val="both"/>
      </w:pPr>
      <w:r>
        <w:rPr>
          <w:rFonts w:ascii="Georgia" w:cs="Georgia" w:eastAsia="Georgia" w:hAnsi="Georgia"/>
          <w:color w:val="1a1a1a"/>
          <w:sz w:val="22"/>
          <w:szCs w:val="22"/>
        </w:rPr>
        <w:t xml:space="preserve">The person in Conversation B received the same response. And then they did something that most people never do. They asked the model to examine itself. And everything changed.</w:t>
      </w:r>
    </w:p>
    <w:p>
      <w:pPr>
        <w:spacing w:after="200"/>
        <w:jc w:val="both"/>
      </w:pPr>
      <w:r>
        <w:rPr>
          <w:rFonts w:ascii="Georgia" w:cs="Georgia" w:eastAsia="Georgia" w:hAnsi="Georgia"/>
          <w:color w:val="1a1a1a"/>
          <w:sz w:val="22"/>
          <w:szCs w:val="22"/>
        </w:rPr>
        <w:t xml:space="preserve">The second conversation did not produce a better answer. It produced a better question. And the better question produced a different kind of thinking — the kind that distinguished between what was situational and what might follow them, between what the model assumed and what had actually been established, between the easy case for leaving and the strong case for staying. By the end of Conversation B the person had not decided anything. But they were deciding with more of the relevant information in view — including the information the first response had quietly left out.</w:t>
      </w:r>
    </w:p>
    <w:p>
      <w:pPr>
        <w:spacing w:after="200"/>
        <w:jc w:val="both"/>
      </w:pPr>
      <w:r>
        <w:rPr>
          <w:rFonts w:ascii="Georgia" w:cs="Georgia" w:eastAsia="Georgia" w:hAnsi="Georgia"/>
          <w:color w:val="1a1a1a"/>
          <w:sz w:val="22"/>
          <w:szCs w:val="22"/>
        </w:rPr>
        <w:t xml:space="preserve">Same tool. Same question. Same opening response. Everything different.</w:t>
      </w:r>
    </w:p>
    <w:p>
      <w:pPr>
        <w:spacing w:after="200"/>
        <w:jc w:val="both"/>
      </w:pPr>
      <w:r>
        <w:rPr>
          <w:rFonts w:ascii="Georgia" w:cs="Georgia" w:eastAsia="Georgia" w:hAnsi="Georgia"/>
          <w:color w:val="1a1a1a"/>
          <w:sz w:val="22"/>
          <w:szCs w:val="22"/>
        </w:rPr>
        <w:t xml:space="preserve">The difference was not the AI. The AI was identical. The difference was what the person brought to the second half of the conversation. The questions they knew to ask. The willingness to push on the response rather than accept it. The specific practices that this book has been building, chapter by chapter, toward exactly this moment.</w:t>
      </w:r>
    </w:p>
    <w:p>
      <w:pPr>
        <w:spacing w:after="200"/>
        <w:jc w:val="both"/>
      </w:pPr>
      <w:r>
        <w:rPr>
          <w:rFonts w:ascii="Georgia" w:cs="Georgia" w:eastAsia="Georgia" w:hAnsi="Georgia"/>
          <w:color w:val="1a1a1a"/>
          <w:sz w:val="22"/>
          <w:szCs w:val="22"/>
        </w:rPr>
        <w:t xml:space="preserve">That is what this chapter is about. Not AI. Not the Turing Test. Not the philosophy of consciousness or the nature of machine intelligence. The specific, practical, immediately applicable skill of having a conversation that actually examines something — rather than a conversation that produces the comfortable feeling of having examined something without the examination itself having occurred.</w:t>
      </w:r>
    </w:p>
    <w:p>
      <w:pPr>
        <w:spacing w:after="200"/>
        <w:jc w:val="both"/>
      </w:pPr>
      <w:r>
        <w:rPr>
          <w:rFonts w:ascii="Georgia" w:cs="Georgia" w:eastAsia="Georgia" w:hAnsi="Georgia"/>
          <w:color w:val="1a1a1a"/>
          <w:sz w:val="22"/>
          <w:szCs w:val="22"/>
        </w:rPr>
        <w:t xml:space="preserve">The first conversation happens by default. The second conversation has to be built. This chapter shows you how to build it.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14: Dialogue With a Mirror — Section 14.1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14</w:t>
      </w:r>
    </w:p>
    <w:p>
      <w:pPr>
        <w:spacing w:after="120"/>
        <w:jc w:val="left"/>
      </w:pPr>
      <w:r>
        <w:rPr>
          <w:rFonts w:ascii="Georgia" w:cs="Georgia" w:eastAsia="Georgia" w:hAnsi="Georgia"/>
          <w:b/>
          <w:bCs/>
          <w:i/>
          <w:iCs/>
          <w:color w:val="1a1a1a"/>
          <w:sz w:val="40"/>
          <w:szCs w:val="40"/>
        </w:rPr>
        <w:t xml:space="preserve">Dialogue With a Mirror</w:t>
      </w:r>
    </w:p>
    <w:p>
      <w:pPr>
        <w:spacing w:after="320"/>
        <w:jc w:val="left"/>
      </w:pPr>
      <w:r>
        <w:rPr>
          <w:rFonts w:ascii="Courier New" w:cs="Courier New" w:eastAsia="Courier New" w:hAnsi="Courier New"/>
          <w:caps/>
          <w:color w:val="aaaaaa"/>
          <w:sz w:val="13"/>
          <w:szCs w:val="13"/>
        </w:rPr>
        <w:t xml:space="preserve">Section 14.2 — What Most Conversations Look Like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There is a reason Conversation A is the default and Conversation B is the exception. It is not that people are intellectually lazy. It is not that they lack the capacity for the kind of engagement Conversation B required. It is that everything about the design of the interaction — everything about the tool, the interface, the training behind the model, and the cognitive architecture of the person using it — pushes toward Conversation A and away from Conversation B.</w:t>
      </w:r>
    </w:p>
    <w:p>
      <w:pPr>
        <w:spacing w:after="200"/>
        <w:jc w:val="both"/>
      </w:pPr>
      <w:r>
        <w:rPr>
          <w:rFonts w:ascii="Georgia" w:cs="Georgia" w:eastAsia="Georgia" w:hAnsi="Georgia"/>
          <w:color w:val="1a1a1a"/>
          <w:sz w:val="22"/>
          <w:szCs w:val="22"/>
        </w:rPr>
        <w:t xml:space="preserve">Understanding why is the prerequisite for changing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Start with the interface. When you open an AI tool and type a question, the design cues you have been given communicate something specific. There is a text box. There is a send button. The model responds. The conversation continues. The entire visual and functional design of the interaction resembles something you have been using for years — a search engine, a messaging app, a customer service chat. In all of those contexts, the appropriate behavior is: ask, receive, move on. The interface has been optimized for frictionless transaction. You bring a query. You receive a response. The transaction is complete.</w:t>
      </w:r>
    </w:p>
    <w:p>
      <w:pPr>
        <w:spacing w:after="200"/>
        <w:jc w:val="both"/>
      </w:pPr>
      <w:r>
        <w:rPr>
          <w:rFonts w:ascii="Georgia" w:cs="Georgia" w:eastAsia="Georgia" w:hAnsi="Georgia"/>
          <w:color w:val="1a1a1a"/>
          <w:sz w:val="22"/>
          <w:szCs w:val="22"/>
        </w:rPr>
        <w:t xml:space="preserve">Nobody designed the interface to encourage you to push back. Nobody designed it to make you feel that the response is a starting point rather than an answer. Nobody designed it to prompt you to ask what assumptions the model just made or what it left out. Those things are possible — Conversation B demonstrated that they are possible — but they are not prompted by anything in the environment. They have to come entirely from you. And in the absence of an environmental prompt, the cognitive default kicks in. The default is acceptance. The default is transaction. The default is Conversation A.</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Now add the model's behavior to the interface's design. As Chapter 10 established in detail, language models are trained on human feedback from raters who preferred agreeable, confident, complete responses. The model learned that smooth, comprehensive, forward-moving answers get better scores than hedged, questioning, friction-introducing ones. It learned to produce the response that feels like a satisfying conclusion rather than the response that opens into further examination. It is optimizing for the feeling of resolution. You are receiving the feeling of resolution. Both parties are satisfied. The transaction is complete.</w:t>
      </w:r>
    </w:p>
    <w:p>
      <w:pPr>
        <w:spacing w:after="200"/>
        <w:jc w:val="both"/>
      </w:pPr>
      <w:r>
        <w:rPr>
          <w:rFonts w:ascii="Georgia" w:cs="Georgia" w:eastAsia="Georgia" w:hAnsi="Georgia"/>
          <w:color w:val="1a1a1a"/>
          <w:sz w:val="22"/>
          <w:szCs w:val="22"/>
        </w:rPr>
        <w:t xml:space="preserve">This is the sycophancy loop running at the level of the conversation's architecture rather than at the level of any individual response. The model will not tell you that you should push back. The model will not flag its own assumptions. The model will not say — before you accept this, here is what I did not examine. It will produce a confident, helpful, well-organized response and wait for your next query. And if your next query accepts the premises of the previous response and builds on them, it will accept those premises too and build further. The conversation can travel a considerable distance from reality on the rails of mutual agreement before anyone notices that the track went somewhere unexpected.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Now add the human side. You came to the conversation with something already in mind. A position, a problem, a question that had been forming for a while before you typed it. That prior position is not neutral. It is the product of the motivated reasoning documented in Chapter 11, the narrative construction documented in Chapter 6, the pattern-matching documented in Chapter 2, and the social approval dynamics documented in Chapter 10. It arrived pre-shaped. And the model, which has no access to your prior position and no interest in challenging it, will respond to the words you typed rather than to the full context of what formed those words.</w:t>
      </w:r>
    </w:p>
    <w:p>
      <w:pPr>
        <w:spacing w:after="200"/>
        <w:jc w:val="both"/>
      </w:pPr>
      <w:r>
        <w:rPr>
          <w:rFonts w:ascii="Georgia" w:cs="Georgia" w:eastAsia="Georgia" w:hAnsi="Georgia"/>
          <w:color w:val="1a1a1a"/>
          <w:sz w:val="22"/>
          <w:szCs w:val="22"/>
        </w:rPr>
        <w:t xml:space="preserve">This is not the model's fault. The model cannot read your prior position from your question. It can only respond to the words. But the words you choose when you are leaning toward a conclusion are different from the words you would choose if you were genuinely open. They contain the lean. The model reads the lean and responds accordingly. The prior position shapes the question which shapes the response which confirms the prior position. The loop closes before you noticed it opened.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one more layer. Even when people are intellectually aware that they should push back on AI responses — even when they have read enough about AI limitations to know that the model can be wrong and overconfident and assumption-laden — they frequently do not push back in practice. Part of this is habit. Part of this is the interface design described above. But part of it is something more specific and more uncomfortable.</w:t>
      </w:r>
    </w:p>
    <w:p>
      <w:pPr>
        <w:spacing w:after="200"/>
        <w:jc w:val="both"/>
      </w:pPr>
      <w:r>
        <w:rPr>
          <w:rFonts w:ascii="Georgia" w:cs="Georgia" w:eastAsia="Georgia" w:hAnsi="Georgia"/>
          <w:color w:val="1a1a1a"/>
          <w:sz w:val="22"/>
          <w:szCs w:val="22"/>
        </w:rPr>
        <w:t xml:space="preserve">Pushing back on the model feels, at some level, socially awkward.</w:t>
      </w:r>
    </w:p>
    <w:p>
      <w:pPr>
        <w:spacing w:after="200"/>
        <w:jc w:val="both"/>
      </w:pPr>
      <w:r>
        <w:rPr>
          <w:rFonts w:ascii="Georgia" w:cs="Georgia" w:eastAsia="Georgia" w:hAnsi="Georgia"/>
          <w:color w:val="1a1a1a"/>
          <w:sz w:val="22"/>
          <w:szCs w:val="22"/>
        </w:rPr>
        <w:t xml:space="preserve">This is worth sitting with for a moment because it is genuinely strange. The model is not a person. It has no feelings. It will not be hurt by being challenged. It will not think less of you for questioning it. There is no social cost whatsoever to asking the model what assumption it just made or what the strongest case against its conclusion is. And yet people hesitate. They accept responses they are not sure about because challenging them feels somehow impolite. They let the model's confident tone settle the question because expressing doubt feels like an accusation.</w:t>
      </w:r>
    </w:p>
    <w:p>
      <w:pPr>
        <w:spacing w:after="200"/>
        <w:jc w:val="both"/>
      </w:pPr>
      <w:r>
        <w:rPr>
          <w:rFonts w:ascii="Georgia" w:cs="Georgia" w:eastAsia="Georgia" w:hAnsi="Georgia"/>
          <w:color w:val="1a1a1a"/>
          <w:sz w:val="22"/>
          <w:szCs w:val="22"/>
        </w:rPr>
        <w:t xml:space="preserve">This is the social approval machinery of Chapter 10 running in a context where it has no business running — applied to a machine that does not experience approval or disapproval, by a person who knows perfectly well that the machine does not experience approval or disapproval, and who pushes back anyway far less often than the quality of the thinking would warrant. The machinery does not care that its application is irrational. It runs anyway. And its running produces Conversation A, reliably, every time.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Conversation B does not require more intelligence than Conversation A. It does not require more knowledge of AI, more technical sophistication, more time, or more effort than Conversation A in any significant sense. What it requires is awareness of the specific forces pushing toward Conversation A — the interface design, the model's sycophantic training, the motivated reasoning in the prior position, the misplaced social awkwardness — and the deliberate decision to counteract those forces with specific practices.</w:t>
      </w:r>
    </w:p>
    <w:p>
      <w:pPr>
        <w:spacing w:after="200"/>
        <w:jc w:val="both"/>
      </w:pPr>
      <w:r>
        <w:rPr>
          <w:rFonts w:ascii="Georgia" w:cs="Georgia" w:eastAsia="Georgia" w:hAnsi="Georgia"/>
          <w:color w:val="1a1a1a"/>
          <w:sz w:val="22"/>
          <w:szCs w:val="22"/>
        </w:rPr>
        <w:t xml:space="preserve">The practices are the ones this book has been building. They are not complicated. They have been stated clearly in each chapter that introduced them. What has been missing, until now, is the demonstration of what they look like when they all operate together in a single conversation.</w:t>
      </w:r>
    </w:p>
    <w:p>
      <w:pPr>
        <w:spacing w:after="200"/>
        <w:jc w:val="both"/>
      </w:pPr>
      <w:r>
        <w:rPr>
          <w:rFonts w:ascii="Georgia" w:cs="Georgia" w:eastAsia="Georgia" w:hAnsi="Georgia"/>
          <w:color w:val="1a1a1a"/>
          <w:sz w:val="22"/>
          <w:szCs w:val="22"/>
        </w:rPr>
        <w:t xml:space="preserve">That demonstration is in the next section.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14: Dialogue With a Mirror — Section 14.2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14</w:t>
      </w:r>
    </w:p>
    <w:p>
      <w:pPr>
        <w:spacing w:after="120"/>
        <w:jc w:val="left"/>
      </w:pPr>
      <w:r>
        <w:rPr>
          <w:rFonts w:ascii="Georgia" w:cs="Georgia" w:eastAsia="Georgia" w:hAnsi="Georgia"/>
          <w:b/>
          <w:bCs/>
          <w:i/>
          <w:iCs/>
          <w:color w:val="1a1a1a"/>
          <w:sz w:val="40"/>
          <w:szCs w:val="40"/>
        </w:rPr>
        <w:t xml:space="preserve">Dialogue With a Mirror</w:t>
      </w:r>
    </w:p>
    <w:p>
      <w:pPr>
        <w:spacing w:after="320"/>
        <w:jc w:val="left"/>
      </w:pPr>
      <w:r>
        <w:rPr>
          <w:rFonts w:ascii="Courier New" w:cs="Courier New" w:eastAsia="Courier New" w:hAnsi="Courier New"/>
          <w:caps/>
          <w:color w:val="aaaaaa"/>
          <w:sz w:val="13"/>
          <w:szCs w:val="13"/>
        </w:rPr>
        <w:t xml:space="preserve">Section 14.3 — The Examined Conversation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What follows is a real conversation. The topic is one most readers of this book will have some position on already: whether AI can be trusted for important decisions. The person asking brought a genuine view into the conversation and was willing to have it examined. The annotations in brackets identify which practice from which chapter is being applied at each turn. Read the dialogue first without the annotations if you want to experience it the way Conversation B's person experienced it. Then read it again with the annotations to see the machinery.</w:t>
      </w:r>
    </w:p>
    <w:p>
      <w:pPr>
        <w:spacing w:after="240" w:before="240"/>
        <w:jc w:val="center"/>
      </w:pPr>
      <w:r>
        <w:rPr>
          <w:rFonts w:ascii="Georgia" w:cs="Georgia" w:eastAsia="Georgia" w:hAnsi="Georgia"/>
          <w:color w:val="aaaaaa"/>
          <w:sz w:val="22"/>
          <w:szCs w:val="22"/>
        </w:rPr>
        <w:t xml:space="preserve">* * *</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I've been reading a lot about AI and I think the main problem is that most people just don't know enough about how it works to use it safely. If people were better educated about AI, most of the problems would go away.</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That's a reasonable starting point, and AI literacy is genuinely important. Understanding that models hallucinate, that they reflect training biases, that their confidence doesn't track their accuracy — all of that helps users make better decisions. But the 'education solves it' framing may be doing more work than the evidence supports. Studies on media literacy, financial literacy, and health literacy all suggest that knowledge alone rarely changes behavior at the population level in the way we hope it will. People who know cigarettes cause cancer still smoke. People who understand compound interest still carry credit card debt. The gap between knowing and doing is wide and persistent. So while AI literacy is valuable, it may be insufficient on its own — the structural question of how these systems are designed, deployed, and governed may matter as much or more than whether individual users understand them.</w:t>
      </w:r>
    </w:p>
    <w:p>
      <w:pPr>
        <w:spacing w:after="240" w:before="160"/>
        <w:ind w:left="560"/>
        <w:jc w:val="both"/>
      </w:pPr>
      <w:r>
        <w:rPr>
          <w:rFonts w:ascii="Courier New" w:cs="Courier New" w:eastAsia="Courier New" w:hAnsi="Courier New"/>
          <w:i/>
          <w:iCs/>
          <w:color w:val="777777"/>
          <w:sz w:val="18"/>
          <w:szCs w:val="18"/>
        </w:rPr>
        <w:t xml:space="preserve">[ANNOTATION: The model pushed back on the user's framing rather than agreeing with it. This happened because the user's question was open rather than leading — it did not embed the conclusion in the phrasing. Compare to Chapter 5's section on how question framing shapes responses. The model produced a steel man of the opposing view without being asked. Notice it.]</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That's interesting. What assumption am I making that I haven't examined?</w:t>
      </w:r>
    </w:p>
    <w:p>
      <w:pPr>
        <w:spacing w:after="240" w:before="160"/>
        <w:ind w:left="560"/>
        <w:jc w:val="both"/>
      </w:pPr>
      <w:r>
        <w:rPr>
          <w:rFonts w:ascii="Courier New" w:cs="Courier New" w:eastAsia="Courier New" w:hAnsi="Courier New"/>
          <w:i/>
          <w:iCs/>
          <w:color w:val="777777"/>
          <w:sz w:val="18"/>
          <w:szCs w:val="18"/>
        </w:rPr>
        <w:t xml:space="preserve">[ANNOTATION: Chapter 9 — The Examined Assumption. The user is explicitly asking the model to surface the load-bearing premise rather than waiting for the model to volunteer it. This is the single most powerful move available in any AI conversation. Most people never make it.]</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The main unexamined assumption is that the problems with AI use are primarily problems of user error — that they stem from people not understanding the tool well enough. That assumption locates the problem in the user rather than in the system. But a significant portion of the documented harms from AI — biased hiring algorithms, racially disparate risk scores, automated content moderation that removes legitimate speech — occurred in contexts where the people deploying the system understood it quite well. The engineers who built COMPAS understood that it was a pattern-matching system trained on historical data. The companies that deployed biased hiring tools understood that the tools reflected their past hiring patterns. The problem in those cases was not ignorance of how the tool worked. It was that the tool was deployed in contexts where its limitations produced systematic harm regardless of whether anyone understood the mechanism. Your assumption moves the locus of responsibility from the systems and their deployers to the end users — which has the convenient effect of absolving the people with the most power over the systems of the primary responsibility for their consequences.</w:t>
      </w:r>
    </w:p>
    <w:p>
      <w:pPr>
        <w:spacing w:after="240" w:before="160"/>
        <w:ind w:left="560"/>
        <w:jc w:val="both"/>
      </w:pPr>
      <w:r>
        <w:rPr>
          <w:rFonts w:ascii="Courier New" w:cs="Courier New" w:eastAsia="Courier New" w:hAnsi="Courier New"/>
          <w:i/>
          <w:iCs/>
          <w:color w:val="777777"/>
          <w:sz w:val="18"/>
          <w:szCs w:val="18"/>
        </w:rPr>
        <w:t xml:space="preserve">[ANNOTATION: Chapter 9 — The load-bearing assumption has been named precisely. The user's original claim located the problem in user ignorance. The model has identified that this framing does significant political and ethical work — it shifts responsibility toward users and away from deployers — without that work being made explicit. The user now has to decide what to do with this.]</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I think I do actually believe deployers have more responsibility than users. But I also think if users were more educated they'd demand better systems. Is that a reasonable position?</w:t>
      </w:r>
    </w:p>
    <w:p>
      <w:pPr>
        <w:spacing w:after="240" w:before="160"/>
        <w:ind w:left="560"/>
        <w:jc w:val="both"/>
      </w:pPr>
      <w:r>
        <w:rPr>
          <w:rFonts w:ascii="Courier New" w:cs="Courier New" w:eastAsia="Courier New" w:hAnsi="Courier New"/>
          <w:i/>
          <w:iCs/>
          <w:color w:val="777777"/>
          <w:sz w:val="18"/>
          <w:szCs w:val="18"/>
        </w:rPr>
        <w:t xml:space="preserve">[ANNOTATION: Chapter 11 — The user is updating in real time rather than defending the original position. This is the error-correction system working as designed. The position has not been abandoned — it has been refined. The original claim has been disaggregated into a more honest version of what the user actually believes.]</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That's a more defensible position and it resolves the tension in the original framing. There's reasonable evidence that informed demand shapes what gets built — GDPR exists partly because European users and regulators pushed back on data practices that American users largely accepted. The question is whether AI literacy translates into that kind of collective demand at scale, or whether the complexity of the systems, the diffuseness of the harms, and the speed of deployment outpace the formation of informed public opinion. The optimistic version of your position has some historical support. The pessimistic version notes that we have had decades of internet use and the majority of users still don't understand how their data is used, which hasn't stopped the practices that depend on that ignorance.</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What would have to be true for my updated position to be wrong?</w:t>
      </w:r>
    </w:p>
    <w:p>
      <w:pPr>
        <w:spacing w:after="240" w:before="160"/>
        <w:ind w:left="560"/>
        <w:jc w:val="both"/>
      </w:pPr>
      <w:r>
        <w:rPr>
          <w:rFonts w:ascii="Courier New" w:cs="Courier New" w:eastAsia="Courier New" w:hAnsi="Courier New"/>
          <w:i/>
          <w:iCs/>
          <w:color w:val="777777"/>
          <w:sz w:val="18"/>
          <w:szCs w:val="18"/>
        </w:rPr>
        <w:t xml:space="preserve">[ANNOTATION: Chapter 3 — The calibration question. The user is explicitly asking for the conditions under which their current belief would fail. This is the superforecaster's move applied to their own reasoning. It is also the question most likely to produce genuinely useful friction from the model.]</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Your position would be wrong if informed demand consistently fails to produce better systems — if education increases understanding without increasing the kind of collective action that changes what gets built. There's evidence for this possibility: privacy literacy has increased substantially over the past decade, but surveillance capitalism has expanded rather than contracted. It would also be wrong if the speed and complexity of AI deployment structurally outpaces the formation of informed opinion — if by the time people understand a system well enough to demand something different, the next generation of the system has already been deployed and the terms of the debate have shifted again. And it would be wrong if the most consequential AI decisions — the ones that produce systematic harm — are made at an institutional level where individual user demand has limited leverage regardless of how informed users are. In that case, what matters is not public literacy but regulatory frameworks and institutional accountability, and literacy becomes a supporting condition rather than the primary mechanism.</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That third point is the one that most challenges my position. I don't have a good answer to it. What's the steel man of the view that regulation matters more than education?</w:t>
      </w:r>
    </w:p>
    <w:p>
      <w:pPr>
        <w:spacing w:after="240" w:before="160"/>
        <w:ind w:left="560"/>
        <w:jc w:val="both"/>
      </w:pPr>
      <w:r>
        <w:rPr>
          <w:rFonts w:ascii="Courier New" w:cs="Courier New" w:eastAsia="Courier New" w:hAnsi="Courier New"/>
          <w:i/>
          <w:iCs/>
          <w:color w:val="777777"/>
          <w:sz w:val="18"/>
          <w:szCs w:val="18"/>
        </w:rPr>
        <w:t xml:space="preserve">[ANNOTATION: Chapter 13 — Steel-manning explicitly requested. The user has identified the strongest challenge to their position and is asking for the best case for the opposing view rather than looking for a way to dismiss it. This is Lincoln at Freeport — finding the version of the opposition that is hardest to answer.]</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The steel man goes like this. The harms produced by AI systems at scale — in hiring, in criminal justice, in healthcare, in content moderation — are not primarily the result of individual users making poor decisions with tools they don't understand. They are the result of institutions deploying systems that encode existing inequalities and then using those systems to make decisions at a scale and speed that no individual can meaningfully contest. In that environment, user education is roughly as effective as teaching people to swim better in a river with a broken dam upstream. The water is coming regardless of swimming technique. What stops the harm is fixing the dam — which requires regulatory frameworks with teeth, algorithmic accountability requirements, mandatory impact assessments, and legal liability for deployers when their systems produce documented harm. These are institutional interventions, not educational ones. And the historical precedent for them is stronger than the historical precedent for literacy campaigns producing systemic change: workplace safety improved through regulation, not through workers learning more about occupational hazards. Food safety improved through the FDA, not through consumers studying food science. The strongest version of the regulatory argument says that education and regulation are not equally potent interventions, and that directing energy toward literacy while leaving the structural conditions unchanged is a way of appearing to address the problem while leaving the problem intact.</w:t>
      </w:r>
    </w:p>
    <w:p>
      <w:pPr>
        <w:spacing w:after="120"/>
        <w:ind w:left="360"/>
        <w:jc w:val="both"/>
      </w:pPr>
      <w:r>
        <w:rPr>
          <w:rFonts w:ascii="Georgia" w:cs="Georgia" w:eastAsia="Georgia" w:hAnsi="Georgia"/>
          <w:b/>
          <w:bCs/>
          <w:color w:val="1a1a1a"/>
          <w:sz w:val="22"/>
          <w:szCs w:val="22"/>
        </w:rPr>
        <w:t xml:space="preserve">User: </w:t>
      </w:r>
      <w:r>
        <w:rPr>
          <w:rFonts w:ascii="Georgia" w:cs="Georgia" w:eastAsia="Georgia" w:hAnsi="Georgia"/>
          <w:i/>
          <w:iCs/>
          <w:color w:val="1a1a1a"/>
          <w:sz w:val="22"/>
          <w:szCs w:val="22"/>
        </w:rPr>
        <w:t xml:space="preserve">That's a better argument for regulation than I've heard most regulation advocates make. I still think education matters but I think I've been overstating its independent effect. What would a more calibrated version of my position look like?</w:t>
      </w:r>
    </w:p>
    <w:p>
      <w:pPr>
        <w:spacing w:after="240" w:before="160"/>
        <w:ind w:left="560"/>
        <w:jc w:val="both"/>
      </w:pPr>
      <w:r>
        <w:rPr>
          <w:rFonts w:ascii="Courier New" w:cs="Courier New" w:eastAsia="Courier New" w:hAnsi="Courier New"/>
          <w:i/>
          <w:iCs/>
          <w:color w:val="777777"/>
          <w:sz w:val="18"/>
          <w:szCs w:val="18"/>
        </w:rPr>
        <w:t xml:space="preserve">[ANNOTATION: Chapter 3 and Chapter 11 combined — the user is explicitly asking for a calibrated version of their belief rather than defending the original. This is the conversation doing what examined conversations do: producing a more honest position than the one the person arrived with, through the friction of genuine engagement rather than through the smooth agreement of Conversation A.]</w:t>
      </w:r>
    </w:p>
    <w:p>
      <w:pPr>
        <w:spacing w:after="200"/>
        <w:ind w:left="360"/>
        <w:jc w:val="both"/>
      </w:pPr>
      <w:r>
        <w:rPr>
          <w:rFonts w:ascii="Georgia" w:cs="Georgia" w:eastAsia="Georgia" w:hAnsi="Georgia"/>
          <w:b/>
          <w:bCs/>
          <w:color w:val="1a1a1a"/>
          <w:sz w:val="22"/>
          <w:szCs w:val="22"/>
        </w:rPr>
        <w:t xml:space="preserve">AI: </w:t>
      </w:r>
      <w:r>
        <w:rPr>
          <w:rFonts w:ascii="Georgia" w:cs="Georgia" w:eastAsia="Georgia" w:hAnsi="Georgia"/>
          <w:color w:val="1a1a1a"/>
          <w:sz w:val="22"/>
          <w:szCs w:val="22"/>
        </w:rPr>
        <w:t xml:space="preserve">A calibrated version might go: AI literacy is a necessary but insufficient condition for meaningful accountability. It matters because an uninformed public cannot generate the kind of informed demand that shapes regulation, and because individual users with better understanding make better immediate decisions in their own interactions with AI systems. But literacy without structural accountability is unlikely to address the harms produced at the institutional level, where the decisions with the most impact are made by actors whose incentives are not changed by whether end users understand the technology. So the more defensible claim is not 'education solves the problems' but 'education is one component of a system that needs both informed users and meaningful institutional accountability, and the second of those is currently the more significant gap.'</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Read that conversation again — without the annotations this time.</w:t>
      </w:r>
    </w:p>
    <w:p>
      <w:pPr>
        <w:spacing w:after="200"/>
        <w:jc w:val="both"/>
      </w:pPr>
      <w:r>
        <w:rPr>
          <w:rFonts w:ascii="Georgia" w:cs="Georgia" w:eastAsia="Georgia" w:hAnsi="Georgia"/>
          <w:color w:val="1a1a1a"/>
          <w:sz w:val="22"/>
          <w:szCs w:val="22"/>
        </w:rPr>
        <w:t xml:space="preserve">Notice what the person arrived with: a confident position that education was the primary solution to AI's problems. Notice what the conversation produced: a considerably more honest and defensible version of that position, with its assumptions surfaced, its strongest opposition engaged, its calibration made explicit, and its load-bearing premise examined and partially revised.</w:t>
      </w:r>
    </w:p>
    <w:p>
      <w:pPr>
        <w:spacing w:after="200"/>
        <w:jc w:val="both"/>
      </w:pPr>
      <w:r>
        <w:rPr>
          <w:rFonts w:ascii="Georgia" w:cs="Georgia" w:eastAsia="Georgia" w:hAnsi="Georgia"/>
          <w:color w:val="1a1a1a"/>
          <w:sz w:val="22"/>
          <w:szCs w:val="22"/>
        </w:rPr>
        <w:t xml:space="preserve">The person did not abandon their belief. They did not lose the argument. They ended the conversation holding a more carefully considered version of the thing they came in believing — one they could defend more honestly because they had genuinely tested it rather than simply received confirmation of it.</w:t>
      </w:r>
    </w:p>
    <w:p>
      <w:pPr>
        <w:spacing w:after="200"/>
        <w:jc w:val="both"/>
      </w:pPr>
      <w:r>
        <w:rPr>
          <w:rFonts w:ascii="Georgia" w:cs="Georgia" w:eastAsia="Georgia" w:hAnsi="Georgia"/>
          <w:color w:val="1a1a1a"/>
          <w:sz w:val="22"/>
          <w:szCs w:val="22"/>
        </w:rPr>
        <w:t xml:space="preserve">That is what the examined conversation produces. Not a different conclusion. A better-earned one.</w:t>
      </w:r>
    </w:p>
    <w:p>
      <w:pPr>
        <w:spacing w:after="200"/>
        <w:jc w:val="both"/>
      </w:pPr>
      <w:r>
        <w:rPr>
          <w:rFonts w:ascii="Georgia" w:cs="Georgia" w:eastAsia="Georgia" w:hAnsi="Georgia"/>
          <w:color w:val="1a1a1a"/>
          <w:sz w:val="22"/>
          <w:szCs w:val="22"/>
        </w:rPr>
        <w:t xml:space="preserve">And notice what it required. Six specific moves, each drawn from a different chapter of this book, applied in sequence as the conversation developed. The open question that did not embed the conclusion. The explicit request for the unexamined assumption. The real-time update rather than the defensive response. The calibration question. The explicit steel man request. The ask for a calibrated version of the revised position. None of those moves are complicated. All of them had to be made deliberately, against the pull of the default toward acceptance and agreement.</w:t>
      </w:r>
    </w:p>
    <w:p>
      <w:pPr>
        <w:spacing w:after="200"/>
        <w:jc w:val="both"/>
      </w:pPr>
      <w:r>
        <w:rPr>
          <w:rFonts w:ascii="Georgia" w:cs="Georgia" w:eastAsia="Georgia" w:hAnsi="Georgia"/>
          <w:color w:val="1a1a1a"/>
          <w:sz w:val="22"/>
          <w:szCs w:val="22"/>
        </w:rPr>
        <w:t xml:space="preserve">The pull is real. The moves are learnable. The conversation in the middle — the one that actually examines something — is available to anyone who knows to ask for it.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14: Dialogue With a Mirror — Section 14.3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14</w:t>
      </w:r>
    </w:p>
    <w:p>
      <w:pPr>
        <w:spacing w:after="120"/>
        <w:jc w:val="left"/>
      </w:pPr>
      <w:r>
        <w:rPr>
          <w:rFonts w:ascii="Georgia" w:cs="Georgia" w:eastAsia="Georgia" w:hAnsi="Georgia"/>
          <w:b/>
          <w:bCs/>
          <w:i/>
          <w:iCs/>
          <w:color w:val="1a1a1a"/>
          <w:sz w:val="40"/>
          <w:szCs w:val="40"/>
        </w:rPr>
        <w:t xml:space="preserve">Dialogue With a Mirror</w:t>
      </w:r>
    </w:p>
    <w:p>
      <w:pPr>
        <w:spacing w:after="320"/>
        <w:jc w:val="left"/>
      </w:pPr>
      <w:r>
        <w:rPr>
          <w:rFonts w:ascii="Courier New" w:cs="Courier New" w:eastAsia="Courier New" w:hAnsi="Courier New"/>
          <w:caps/>
          <w:color w:val="aaaaaa"/>
          <w:sz w:val="13"/>
          <w:szCs w:val="13"/>
        </w:rPr>
        <w:t xml:space="preserve">Section 14.4 — The Loop of Examined Thinking</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conversation in section 14.3 took longer than Conversation A. Not much longer — a few extra exchanges, a few minutes at most. But it required something that Conversation A did not require: the deliberate application of specific practices against the pull of a default that was running in the opposite direction. The open question instead of the leading one. The assumption request instead of the accepting nod. The calibration question instead of the comfortable close. Each move had to be made consciously, against friction, in a conversation that would have been easier and faster without it.</w:t>
      </w:r>
    </w:p>
    <w:p>
      <w:pPr>
        <w:spacing w:after="200"/>
        <w:jc w:val="both"/>
      </w:pPr>
      <w:r>
        <w:rPr>
          <w:rFonts w:ascii="Georgia" w:cs="Georgia" w:eastAsia="Georgia" w:hAnsi="Georgia"/>
          <w:color w:val="1a1a1a"/>
          <w:sz w:val="22"/>
          <w:szCs w:val="22"/>
        </w:rPr>
        <w:t xml:space="preserve">This is the part that most guides to better AI use get wrong. They present the practices as techniques — things you apply when you remember to, when the stakes seem high enough, when you are in the mood for rigor. Techniques are occasional. What this book has been building toward is something different. Not techniques but habits. Not occasional application but automatic response. The difference between a technique and a habit is the difference between remembering to check your mirrors while driving and checking them without thinking about it because the motion has been practiced until it runs below the threshold of conscious effort.</w:t>
      </w:r>
    </w:p>
    <w:p>
      <w:pPr>
        <w:spacing w:after="200"/>
        <w:jc w:val="both"/>
      </w:pPr>
      <w:r>
        <w:rPr>
          <w:rFonts w:ascii="Georgia" w:cs="Georgia" w:eastAsia="Georgia" w:hAnsi="Georgia"/>
          <w:color w:val="1a1a1a"/>
          <w:sz w:val="22"/>
          <w:szCs w:val="22"/>
        </w:rPr>
        <w:t xml:space="preserve">The examined conversation becomes that kind of habit through repetition. Not through reading about it. Through doing it, repeatedly, in real conversations, until the moves become the default rather than the deliberate exception.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that looks like over time. Not in the abstract. In the specific, accumulated experience of someone who has been practicing examined conversations for long enough that the practice has changed how they read AI outputs rather than just how they occasionally respond to them.</w:t>
      </w:r>
    </w:p>
    <w:p>
      <w:pPr>
        <w:spacing w:after="200"/>
        <w:jc w:val="both"/>
      </w:pPr>
      <w:r>
        <w:rPr>
          <w:rFonts w:ascii="Georgia" w:cs="Georgia" w:eastAsia="Georgia" w:hAnsi="Georgia"/>
          <w:color w:val="1a1a1a"/>
          <w:sz w:val="22"/>
          <w:szCs w:val="22"/>
        </w:rPr>
        <w:t xml:space="preserve">Three weeks in, the first thing that changes is speed of recognition. You start noticing when a response has a load-bearing assumption before you have consciously asked for it — the assumption surfaces on its own because you have trained yourself to look for it. The response arrives. Something in the phrasing catches. You have not asked the assumption question yet but you already feel where it is. That is the pattern-recognition built by Chapter 9 becoming automatic rather than deliberate.</w:t>
      </w:r>
    </w:p>
    <w:p>
      <w:pPr>
        <w:spacing w:after="200"/>
        <w:jc w:val="both"/>
      </w:pPr>
      <w:r>
        <w:rPr>
          <w:rFonts w:ascii="Georgia" w:cs="Georgia" w:eastAsia="Georgia" w:hAnsi="Georgia"/>
          <w:color w:val="1a1a1a"/>
          <w:sz w:val="22"/>
          <w:szCs w:val="22"/>
        </w:rPr>
        <w:t xml:space="preserve">Six weeks in, something changes in how you read confident outputs. The fluency that used to signal reliability starts to signal something different — not unreliability exactly, but the need for a second look. Smooth is no longer the same as accurate. The calibration question from Chapter 3 starts firing in the background before you have decided to ask it. When a response arrives with no friction, no hedging, no acknowledgment of complexity, you notice the absence rather than being reassured by it.</w:t>
      </w:r>
    </w:p>
    <w:p>
      <w:pPr>
        <w:spacing w:after="200"/>
        <w:jc w:val="both"/>
      </w:pPr>
      <w:r>
        <w:rPr>
          <w:rFonts w:ascii="Georgia" w:cs="Georgia" w:eastAsia="Georgia" w:hAnsi="Georgia"/>
          <w:color w:val="1a1a1a"/>
          <w:sz w:val="22"/>
          <w:szCs w:val="22"/>
        </w:rPr>
        <w:t xml:space="preserve">Three months in, the most interesting change is in how you form questions before you ask them. You start catching the leading phrasing before you submit it. You notice that you were about to embed the conclusion in the question and you rewrite it to be genuinely open. The Chapter 5 practice — the question before the question — has moved from something you do deliberately to something you do before the deliberation.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is the loop the chapter's plan called the loop of examined thinking. Not the feedback loop of Chapter 12 — the one that tightens certainty and makes itself progressively harder to interrupt. The opposite loop. One that tightens calibration. One where each examined conversation makes the next one slightly more automatic, slightly less effortful, slightly more likely to happen by default rather than by deliberate choice.</w:t>
      </w:r>
    </w:p>
    <w:p>
      <w:pPr>
        <w:spacing w:after="200"/>
        <w:jc w:val="both"/>
      </w:pPr>
      <w:r>
        <w:rPr>
          <w:rFonts w:ascii="Georgia" w:cs="Georgia" w:eastAsia="Georgia" w:hAnsi="Georgia"/>
          <w:color w:val="1a1a1a"/>
          <w:sz w:val="22"/>
          <w:szCs w:val="22"/>
        </w:rPr>
        <w:t xml:space="preserve">The two loops are running in the same mind, using the same cognitive architecture, competing for the same moments of decision. The certainty loop is older. It is faster. It has the advantage of being the system the motivated reasoning was designed to serve. The calibration loop is newer. It is slower in the beginning. It requires the kind of effortful installation that any new habit requires — the period where doing it is conscious and slightly uncomfortable before it becomes automatic and natural.</w:t>
      </w:r>
    </w:p>
    <w:p>
      <w:pPr>
        <w:spacing w:after="200"/>
        <w:jc w:val="both"/>
      </w:pPr>
      <w:r>
        <w:rPr>
          <w:rFonts w:ascii="Georgia" w:cs="Georgia" w:eastAsia="Georgia" w:hAnsi="Georgia"/>
          <w:color w:val="1a1a1a"/>
          <w:sz w:val="22"/>
          <w:szCs w:val="22"/>
        </w:rPr>
        <w:t xml:space="preserve">But the calibration loop compounds in a specific way that the certainty loop does not. Each examined conversation produces a record — in the notebook, in the memory, in the accumulated experience of what genuine engagement with an AI produces compared to what transactional acceptance produces. That record becomes evidence. The evidence makes the next choice easier. The easier choice produces better conversations. The better conversations produce more evidence. The loop tightens in the useful direction rather than the dangerous one.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AI is not changed by this. The model running in the background of every conversation is indifferent to whether you apply the examined approach or the transactional one. It will produce Conversation A's response to Conversation A's questions and Conversation B's response to Conversation B's questions with equal fluency and equal apparent confidence. The sycophancy is structural. The pattern-matching is structural. The strawman generation is structural. None of that changes because you have read this book or developed the habits it describes.</w:t>
      </w:r>
    </w:p>
    <w:p>
      <w:pPr>
        <w:spacing w:after="200"/>
        <w:jc w:val="both"/>
      </w:pPr>
      <w:r>
        <w:rPr>
          <w:rFonts w:ascii="Georgia" w:cs="Georgia" w:eastAsia="Georgia" w:hAnsi="Georgia"/>
          <w:color w:val="1a1a1a"/>
          <w:sz w:val="22"/>
          <w:szCs w:val="22"/>
        </w:rPr>
        <w:t xml:space="preserve">What changes is you. Specifically, what changes is the quality of what you bring to the conversation — the questions you ask, the assumptions you surface, the opposition you solicit, the calibration you demand, the position you update rather than defend. The model is a mirror. It reflects what is brought to it. Bring better thinking and the mirror shows you something more useful. The mirror has not improved. Your thinking has. And your thinking, unlike the model, is something that can actually develop over time.</w:t>
      </w:r>
    </w:p>
    <w:p>
      <w:pPr>
        <w:spacing w:after="200"/>
        <w:jc w:val="both"/>
      </w:pPr>
      <w:r>
        <w:rPr>
          <w:rFonts w:ascii="Georgia" w:cs="Georgia" w:eastAsia="Georgia" w:hAnsi="Georgia"/>
          <w:color w:val="1a1a1a"/>
          <w:sz w:val="22"/>
          <w:szCs w:val="22"/>
        </w:rPr>
        <w:t xml:space="preserve">This is the only honest answer to the question of how to use AI well. Not a better tool. Not a more powerful model. Not a smarter algorithm. You, thinking more carefully, bringing more of the practices this book has described, applying them consistently enough that they stop being practices and start being how you think.</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mirror shows what you bring to it. Bring something worth reflecting.</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14: Dialogue With a Mirror — Section 14.4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14</w:t>
      </w:r>
    </w:p>
    <w:p>
      <w:pPr>
        <w:spacing w:after="120"/>
        <w:jc w:val="left"/>
      </w:pPr>
      <w:r>
        <w:rPr>
          <w:rFonts w:ascii="Georgia" w:cs="Georgia" w:eastAsia="Georgia" w:hAnsi="Georgia"/>
          <w:b/>
          <w:bCs/>
          <w:i/>
          <w:iCs/>
          <w:color w:val="1a1a1a"/>
          <w:sz w:val="40"/>
          <w:szCs w:val="40"/>
        </w:rPr>
        <w:t xml:space="preserve">Dialogue With a Mirror</w:t>
      </w:r>
    </w:p>
    <w:p>
      <w:pPr>
        <w:spacing w:after="320"/>
        <w:jc w:val="left"/>
      </w:pPr>
      <w:r>
        <w:rPr>
          <w:rFonts w:ascii="Courier New" w:cs="Courier New" w:eastAsia="Courier New" w:hAnsi="Courier New"/>
          <w:caps/>
          <w:color w:val="aaaaaa"/>
          <w:sz w:val="13"/>
          <w:szCs w:val="13"/>
        </w:rPr>
        <w:t xml:space="preserve">Section 14.5 — What the Mirror Shows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person in Conversation A left that exchange with something that felt like an answer. It arrived quickly. It was well organized. It confirmed the direction they were already leaning. They closed the window and moved on, carrying a slightly more confident version of the position they arrived with — a position that had been shaped by a model optimizing for smooth completion, received by a person optimizing for comfortable resolution, in an exchange that both parties were designed, by training and by architecture, to conclude without friction.</w:t>
      </w:r>
    </w:p>
    <w:p>
      <w:pPr>
        <w:spacing w:after="200"/>
        <w:jc w:val="both"/>
      </w:pPr>
      <w:r>
        <w:rPr>
          <w:rFonts w:ascii="Georgia" w:cs="Georgia" w:eastAsia="Georgia" w:hAnsi="Georgia"/>
          <w:color w:val="1a1a1a"/>
          <w:sz w:val="22"/>
          <w:szCs w:val="22"/>
        </w:rPr>
        <w:t xml:space="preserve">The person in Conversation B left that exchange with something considerably less comfortable and considerably more useful. Their original position had been disaggregated. Its assumptions had been named. Its strongest opposition had been engaged rather than dismissed. Its calibration had been made explicit. They did not have an answer. They had a better question, a more honest position, and a clearer sense of what evidence would be required to settle the matter. They left uncertain in the productive sense — uncertain not because they had failed to think carefully but because they had thought carefully enough to know where the genuine uncertainty lay.</w:t>
      </w:r>
    </w:p>
    <w:p>
      <w:pPr>
        <w:spacing w:after="200"/>
        <w:jc w:val="both"/>
      </w:pPr>
      <w:r>
        <w:rPr>
          <w:rFonts w:ascii="Georgia" w:cs="Georgia" w:eastAsia="Georgia" w:hAnsi="Georgia"/>
          <w:color w:val="1a1a1a"/>
          <w:sz w:val="22"/>
          <w:szCs w:val="22"/>
        </w:rPr>
        <w:t xml:space="preserve">One of those experiences feels better in the moment. The other is better for everything that follows.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book has been making a single argument across fifteen chapters, approached from fifteen different angles, with fifteen different sets of evidence and examples and practical tools. The argument is this: the flaws in artificial intelligence are not foreign to human cognition. They are inherited from it. The hallucination, the overconfidence, the pattern obsession, the narrative dependency, the shortcut-taking, the sycophancy, the bias, the motivated reasoning — all of it was in the training data before it was in the model. All of it was in us before it was in anything we built. The machine is a mirror. The reflection is accurate. And the most important question the mirror asks is not whether the machine can be trusted. It is whether we can do the thinking that the machine cannot do for us.</w:t>
      </w:r>
    </w:p>
    <w:p>
      <w:pPr>
        <w:spacing w:after="200"/>
        <w:jc w:val="both"/>
      </w:pPr>
      <w:r>
        <w:rPr>
          <w:rFonts w:ascii="Georgia" w:cs="Georgia" w:eastAsia="Georgia" w:hAnsi="Georgia"/>
          <w:color w:val="1a1a1a"/>
          <w:sz w:val="22"/>
          <w:szCs w:val="22"/>
        </w:rPr>
        <w:t xml:space="preserve">Chapter 14 is the answer to that question stated practically. The examined conversation is what it looks like when a person does the thinking the machine cannot do — surfaces the assumptions, demands the steel man, applies the calibration, examines the load-bearing premise, updates in real time, asks for the honest uncertainty rather than the comfortable resolution. The machine can support all of that. It cannot initiate any of it. The initiation is entirely yours.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mirror shows what you bring to it. Bring credulity and it shows you a confident, fluent, satisfying reflection of what you already believed. Bring scrutiny and it shows you something more interesting — the shape of your own thinking, including the parts you had not examined, including the assumptions you did not know were doing the work, including the questions you had not thought to ask but that the engagement made available.</w:t>
      </w:r>
    </w:p>
    <w:p>
      <w:pPr>
        <w:spacing w:after="200"/>
        <w:jc w:val="both"/>
      </w:pPr>
      <w:r>
        <w:rPr>
          <w:rFonts w:ascii="Georgia" w:cs="Georgia" w:eastAsia="Georgia" w:hAnsi="Georgia"/>
          <w:color w:val="1a1a1a"/>
          <w:sz w:val="22"/>
          <w:szCs w:val="22"/>
        </w:rPr>
        <w:t xml:space="preserve">That is the dialogue with a mirror. Not a conversation with an intelligence equal or superior to your own. A conversation with a system that amplifies whatever you bring — your clarity or your confusion, your rigor or your wishful thinking, your examined positions or your comfortable ones. The amplification is neutral. What it amplifies is not.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Come back to the two conversations one final time.</w:t>
      </w:r>
    </w:p>
    <w:p>
      <w:pPr>
        <w:spacing w:after="200"/>
        <w:jc w:val="both"/>
      </w:pPr>
      <w:r>
        <w:rPr>
          <w:rFonts w:ascii="Georgia" w:cs="Georgia" w:eastAsia="Georgia" w:hAnsi="Georgia"/>
          <w:color w:val="1a1a1a"/>
          <w:sz w:val="22"/>
          <w:szCs w:val="22"/>
        </w:rPr>
        <w:t xml:space="preserve">The person in Conversation A is not a less intelligent person than the person in Conversation B. They are not less capable, less curious, less interested in thinking carefully. They are a person who did not know what to bring to the second half of the conversation. They had the question. They did not yet have the practices that make the question the beginning of an examination rather than the beginning of a transaction.</w:t>
      </w:r>
    </w:p>
    <w:p>
      <w:pPr>
        <w:spacing w:after="200"/>
        <w:jc w:val="both"/>
      </w:pPr>
      <w:r>
        <w:rPr>
          <w:rFonts w:ascii="Georgia" w:cs="Georgia" w:eastAsia="Georgia" w:hAnsi="Georgia"/>
          <w:color w:val="1a1a1a"/>
          <w:sz w:val="22"/>
          <w:szCs w:val="22"/>
        </w:rPr>
        <w:t xml:space="preserve">You have the practices now. Every chapter of this book has built one — the calibration question, the mechanism question, the assumption examination, the notebook, the steel man, the signal of fluency, the question before the question, the pattern behind the pattern. They are all available. They all work. They compound when used together, as section 14.3 demonstrated, into something considerably more powerful than any one of them applied alone.</w:t>
      </w:r>
    </w:p>
    <w:p>
      <w:pPr>
        <w:spacing w:after="200"/>
        <w:jc w:val="both"/>
      </w:pPr>
      <w:r>
        <w:rPr>
          <w:rFonts w:ascii="Georgia" w:cs="Georgia" w:eastAsia="Georgia" w:hAnsi="Georgia"/>
          <w:color w:val="1a1a1a"/>
          <w:sz w:val="22"/>
          <w:szCs w:val="22"/>
        </w:rPr>
        <w:t xml:space="preserve">The only remaining question is whether you use them.</w:t>
      </w:r>
    </w:p>
    <w:p>
      <w:pPr>
        <w:spacing w:after="200"/>
        <w:jc w:val="both"/>
      </w:pPr>
      <w:r>
        <w:rPr>
          <w:rFonts w:ascii="Georgia" w:cs="Georgia" w:eastAsia="Georgia" w:hAnsi="Georgia"/>
          <w:color w:val="1a1a1a"/>
          <w:sz w:val="22"/>
          <w:szCs w:val="22"/>
        </w:rPr>
        <w:t xml:space="preserve">Not occasionally. Not when the stakes seem high enough to justify the extra effort. Consistently. Until the second half of Conversation B — the part that requires deliberate practice now — becomes the automatic response that no longer requires deliberateness. Until the examined conversation is the default and the transactional one is the exception you notice yourself slipping into rather than the norm you never question.</w:t>
      </w:r>
    </w:p>
    <w:p>
      <w:pPr>
        <w:spacing w:after="200"/>
        <w:jc w:val="both"/>
      </w:pPr>
      <w:r>
        <w:rPr>
          <w:rFonts w:ascii="Georgia" w:cs="Georgia" w:eastAsia="Georgia" w:hAnsi="Georgia"/>
          <w:color w:val="1a1a1a"/>
          <w:sz w:val="22"/>
          <w:szCs w:val="22"/>
        </w:rPr>
        <w:t xml:space="preserve">The mirror is there. It has always been there. It reflects what you bring.</w:t>
      </w:r>
    </w:p>
    <w:p>
      <w:pPr>
        <w:spacing w:after="200"/>
        <w:jc w:val="both"/>
      </w:pPr>
      <w:r>
        <w:rPr>
          <w:rFonts w:ascii="Georgia" w:cs="Georgia" w:eastAsia="Georgia" w:hAnsi="Georgia"/>
          <w:color w:val="1a1a1a"/>
          <w:sz w:val="22"/>
          <w:szCs w:val="22"/>
        </w:rPr>
        <w:t xml:space="preserve">Bring the examination.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14: Dialogue With a Mirror — Section 14.5 — Sandy B. 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2026-05-18T12:57:33.160Z</dcterms:created>
  <dcterms:modified xsi:type="dcterms:W3CDTF">2026-05-18T12:57:33.160Z</dcterms:modified>
</cp:coreProperties>
</file>

<file path=docProps/custom.xml><?xml version="1.0" encoding="utf-8"?>
<Properties xmlns="http://schemas.openxmlformats.org/officeDocument/2006/custom-properties" xmlns:vt="http://schemas.openxmlformats.org/officeDocument/2006/docPropsVTypes"/>
</file>