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8"/>
          <w:szCs w:val="48"/>
        </w:rPr>
        <w:t xml:space="preserve">Sistema de Monitoreo de Redes de Agua Potable usando Apache Cassandra</w:t>
      </w:r>
    </w:p>
    <w:p>
      <w:pPr>
        <w:spacing w:after="40"/>
        <w:jc w:val="center"/>
      </w:pPr>
      <w:r>
        <w:rPr>
          <w:rFonts w:ascii="Times New Roman" w:cs="Times New Roman" w:eastAsia="Times New Roman" w:hAnsi="Times New Roman"/>
          <w:sz w:val="22"/>
          <w:szCs w:val="22"/>
        </w:rPr>
        <w:t xml:space="preserve">Sandy Ruiz Salazar, Jeferson Salazar Zambrana, Estefanía Núñez Jiménez, Keylor Gómez Jiménez y Jimena Díaz González</w:t>
      </w:r>
    </w:p>
    <w:p>
      <w:pPr>
        <w:spacing w:after="0"/>
        <w:jc w:val="center"/>
      </w:pPr>
      <w:r>
        <w:rPr>
          <w:rFonts w:ascii="Times New Roman" w:cs="Times New Roman" w:eastAsia="Times New Roman" w:hAnsi="Times New Roman"/>
          <w:i/>
          <w:iCs/>
          <w:sz w:val="20"/>
          <w:szCs w:val="20"/>
        </w:rPr>
        <w:t xml:space="preserve">Escuela de Estadística, Universidad de Costa Rica</w:t>
      </w:r>
    </w:p>
    <w:p>
      <w:pPr>
        <w:spacing w:after="200"/>
        <w:jc w:val="center"/>
      </w:pPr>
      <w:r>
        <w:rPr>
          <w:rFonts w:ascii="Times New Roman" w:cs="Times New Roman" w:eastAsia="Times New Roman" w:hAnsi="Times New Roman"/>
          <w:i/>
          <w:iCs/>
          <w:sz w:val="20"/>
          <w:szCs w:val="20"/>
        </w:rPr>
        <w:t xml:space="preserve">Curso XS0131 Gestión de Bases de Datos y Análisis de Información</w:t>
      </w:r>
    </w:p>
    <w:p>
      <w:pPr>
        <w:sectPr>
          <w:pgSz w:w="12240" w:h="15840" w:orient="portrait"/>
          <w:pgMar w:top="1080" w:right="900" w:bottom="1440" w:left="900" w:header="708" w:footer="708" w:gutter="0"/>
          <w:pgNumType/>
          <w:docGrid w:linePitch="360"/>
        </w:sectPr>
      </w:pPr>
    </w:p>
    <w:p>
      <w:pPr>
        <w:spacing w:after="100" w:line="240"/>
        <w:ind w:firstLine="288"/>
        <w:jc w:val="both"/>
      </w:pPr>
      <w:r>
        <w:rPr>
          <w:rFonts w:ascii="Times New Roman" w:cs="Times New Roman" w:eastAsia="Times New Roman" w:hAnsi="Times New Roman"/>
          <w:b/>
          <w:bCs/>
          <w:i/>
          <w:iCs/>
          <w:sz w:val="18"/>
          <w:szCs w:val="18"/>
        </w:rPr>
        <w:t xml:space="preserve">Resumen</w:t>
      </w:r>
      <w:r>
        <w:rPr>
          <w:rFonts w:ascii="Times New Roman" w:cs="Times New Roman" w:eastAsia="Times New Roman" w:hAnsi="Times New Roman"/>
          <w:b/>
          <w:bCs/>
          <w:sz w:val="18"/>
          <w:szCs w:val="18"/>
        </w:rPr>
        <w:t xml:space="preserve">—Este trabajo propone una solución al caso de AquaSense CR mediante un modelo NoSQL de columnas anchas usando Apache Cassandra, ya que esta empresa requiere un sistema para almacenar gran cantidad de lecturas sobre el agua potable provenientes de sus sensores de caudal, presión, temperatura y calidad. El modelo se creó a partir de patrones de consulta e incluye ocho tablas desnormalizadas, particionadas por sensor o por área y por día, con ordenamiento temporal descendente. Se usa compactación por intervalos de tiempo, lo que evita que las particiones sean muy grandes. Se creó de forma replicable un conjunto sintético de 1 000 sensores distribuidos en 20 áreas, con 1 000 000 de mediciones y un 2 % de lecturas anómalas, cargado mediante escritura asíncrona con sentencias preparadas y lotes no registrados. Las pruebas se hicieron en un clúster de un solo nodo con factor de replicación 1.</w:t>
      </w:r>
    </w:p>
    <w:p>
      <w:pPr>
        <w:spacing w:after="120" w:line="240"/>
        <w:ind w:firstLine="288"/>
        <w:jc w:val="both"/>
      </w:pPr>
      <w:r>
        <w:rPr>
          <w:rFonts w:ascii="Times New Roman" w:cs="Times New Roman" w:eastAsia="Times New Roman" w:hAnsi="Times New Roman"/>
          <w:b/>
          <w:bCs/>
          <w:i/>
          <w:iCs/>
          <w:sz w:val="18"/>
          <w:szCs w:val="18"/>
        </w:rPr>
        <w:t xml:space="preserve">Palabras clave</w:t>
      </w:r>
      <w:r>
        <w:rPr>
          <w:rFonts w:ascii="Times New Roman" w:cs="Times New Roman" w:eastAsia="Times New Roman" w:hAnsi="Times New Roman"/>
          <w:b/>
          <w:bCs/>
          <w:sz w:val="18"/>
          <w:szCs w:val="18"/>
        </w:rPr>
        <w:t xml:space="preserve">—Apache Cassandra, Wide-Column, NoSQL, Telemetría, Series de Tiempo, Bases de Datos, Sensores IoT, Ingestión Masiva de Datos.</w:t>
      </w:r>
    </w:p>
    <w:p>
      <w:pPr>
        <w:pStyle w:val="Heading1"/>
      </w:pPr>
      <w:r>
        <w:rPr>
          <w:rFonts w:ascii="Times New Roman" w:cs="Times New Roman" w:eastAsia="Times New Roman" w:hAnsi="Times New Roman"/>
        </w:rPr>
        <w:t xml:space="preserve">I. Introducción y Problema</w:t>
      </w:r>
    </w:p>
    <w:p>
      <w:pPr>
        <w:spacing w:after="0" w:line="240"/>
        <w:ind w:firstLine="288"/>
        <w:jc w:val="both"/>
      </w:pPr>
      <w:r>
        <w:rPr>
          <w:rFonts w:ascii="Times New Roman" w:cs="Times New Roman" w:eastAsia="Times New Roman" w:hAnsi="Times New Roman"/>
          <w:sz w:val="20"/>
          <w:szCs w:val="20"/>
        </w:rPr>
        <w:t xml:space="preserve">Las organizaciones que operan infraestructuras críticas, como las redes de distribución de agua potable, enfrentan hoy un crecimiento constante en el volumen de datos generados por sus procesos de monitoreo. Esta tendencia ha impulsado la adopción de bases de datos NoSQL, una alternativa que surge frente a las limitaciones de escalabilidad y flexibilidad de esquema que presentan los modelos relacionales tradicionales cuando deben gestionar grandes volúmenes de información [1].</w:t>
      </w:r>
    </w:p>
    <w:p>
      <w:pPr>
        <w:spacing w:after="0" w:line="240"/>
        <w:ind w:firstLine="288"/>
        <w:jc w:val="both"/>
      </w:pPr>
      <w:r>
        <w:rPr>
          <w:rFonts w:ascii="Times New Roman" w:cs="Times New Roman" w:eastAsia="Times New Roman" w:hAnsi="Times New Roman"/>
          <w:sz w:val="20"/>
          <w:szCs w:val="20"/>
        </w:rPr>
        <w:t xml:space="preserve">AquaSense CR es una empresa que monitorea redes de agua potable mediante sensores de caudal, presión, temperatura y calidad instalados en distintas zonas de su infraestructura. Estos dispositivos generan lecturas de forma continua, lo que exige un sistema de almacenamiento capaz de absorber una alta frecuencia de escritura sin degradar su desempeño, además de permitir consultas rápidas de series de tiempo por sensor y por intervalo, incluso cuando el volumen histórico de datos crece de manera sostenida durante meses de operación.</w:t>
      </w:r>
    </w:p>
    <w:p>
      <w:pPr>
        <w:spacing w:after="0" w:line="240"/>
        <w:ind w:firstLine="288"/>
        <w:jc w:val="both"/>
      </w:pPr>
      <w:r>
        <w:rPr>
          <w:rFonts w:ascii="Times New Roman" w:cs="Times New Roman" w:eastAsia="Times New Roman" w:hAnsi="Times New Roman"/>
          <w:sz w:val="20"/>
          <w:szCs w:val="20"/>
        </w:rPr>
        <w:t xml:space="preserve">Esta problemática no es exclusiva de AquaSense CR. Experiencias similares en plantas de tratamiento de agua potable describen que los sistemas de monitoreo manual o discontinuo limitan la capacidad de detectar cambios repentinos en los parámetros críticos y dificultan el ajuste oportuno de los procesos operativos [2]. La digitalización de estas infraestructuras mediante sensores y sistemas de almacenamiento especializados representa, por tanto, una alternativa viable para superar dichas limitaciones.</w:t>
      </w:r>
    </w:p>
    <w:p>
      <w:pPr>
        <w:spacing w:after="0" w:line="240"/>
        <w:ind w:firstLine="288"/>
        <w:jc w:val="both"/>
      </w:pPr>
      <w:r>
        <w:rPr>
          <w:rFonts w:ascii="Times New Roman" w:cs="Times New Roman" w:eastAsia="Times New Roman" w:hAnsi="Times New Roman"/>
          <w:sz w:val="20"/>
          <w:szCs w:val="20"/>
        </w:rPr>
        <w:t xml:space="preserve">Los modelos relacionales, ajustados para transacciones estructuradas y combinaciones (joins), no están diseñados para escrituras masivas y constantes como las de una red de sensores. En un caso similar, el almacenamiento de datos de sensores para el monitoreo de estructuras civiles, se eligió Cassandra debido a su elevada velocidad de lectura y escritura, y el prototipo mostró un rendimiento notablemente mejor en las consultas de subconjuntos de datos [3].</w:t>
      </w:r>
    </w:p>
    <w:p>
      <w:pPr>
        <w:spacing w:after="0" w:line="240"/>
        <w:ind w:firstLine="288"/>
        <w:jc w:val="both"/>
      </w:pPr>
      <w:r>
        <w:rPr>
          <w:rFonts w:ascii="Times New Roman" w:cs="Times New Roman" w:eastAsia="Times New Roman" w:hAnsi="Times New Roman"/>
          <w:sz w:val="20"/>
          <w:szCs w:val="20"/>
        </w:rPr>
        <w:t xml:space="preserve">Este trabajo tiene como objetivo diseñar e implementar una solución de datos basada en el modelo de columnas anchas, utilizando Apache Cassandra, que permita a AquaSense CR ingerir de forma continua las lecturas de sus sensores, consultar eficientemente por sensor, zona y rango de tiempo, y mantener un desempeño estable y escalable a medida que el volumen de datos crece. La selección de esta tecnología se sustenta en evaluaciones previas de rendimiento y escalabilidad de Cassandra [4], así como en estudios sobre el comportamiento de su modelo de consistencia ajustable frente a distintas cargas de trabajo [5], aspectos que se detallan en las secciones siguientes.</w:t>
      </w:r>
    </w:p>
    <w:p>
      <w:pPr>
        <w:pStyle w:val="Heading1"/>
      </w:pPr>
      <w:r>
        <w:rPr>
          <w:rFonts w:ascii="Times New Roman" w:cs="Times New Roman" w:eastAsia="Times New Roman" w:hAnsi="Times New Roman"/>
        </w:rPr>
        <w:t xml:space="preserve">II. Fundamentos del Modelo NoSQL (Columnas Anchas)</w:t>
      </w:r>
    </w:p>
    <w:p>
      <w:pPr>
        <w:spacing w:after="0" w:line="240"/>
        <w:ind w:firstLine="288"/>
        <w:jc w:val="both"/>
      </w:pPr>
      <w:r>
        <w:rPr>
          <w:rFonts w:ascii="Times New Roman" w:cs="Times New Roman" w:eastAsia="Times New Roman" w:hAnsi="Times New Roman"/>
          <w:sz w:val="20"/>
          <w:szCs w:val="20"/>
        </w:rPr>
        <w:t xml:space="preserve">Las bases de datos NoSQL aparecieron como solución a la necesidad de procesar grandes volúmenes de datos crecientes y con estructuras más diversas, en situaciones donde el modelo relacional clásico muestra limitaciones de escalabilidad y rigidez de esquema [1]. A diferencia de las bases de datos relacionales, que estructuran la información en tablas con un esquema rígido y relaciones establecidas, las bases de datos NoSQL se enfocan en la distribución horizontal de los datos y permiten estructuras más versátiles, ajustadas a las necesidades particulares de cada aplicación.</w:t>
      </w:r>
    </w:p>
    <w:p>
      <w:pPr>
        <w:spacing w:after="0" w:line="240"/>
        <w:ind w:firstLine="288"/>
        <w:jc w:val="both"/>
      </w:pPr>
      <w:r>
        <w:rPr>
          <w:rFonts w:ascii="Times New Roman" w:cs="Times New Roman" w:eastAsia="Times New Roman" w:hAnsi="Times New Roman"/>
          <w:sz w:val="20"/>
          <w:szCs w:val="20"/>
        </w:rPr>
        <w:t xml:space="preserve">En la clasificación de bases de datos NoSQL, el modelo de columnas anchas (wide-column) se distingue por estructurar la información en filas identificadas por una clave, donde cada fila puede tener un número variable de columnas agrupadas en familias de columnas [4]. A diferencia de una tabla relacional tradicional, no es imprescindible que todas las filas tengan la misma estructura de columnas, lo que proporciona flexibilidad al modelo sin perder la organización tabular.</w:t>
      </w:r>
    </w:p>
    <w:p>
      <w:pPr>
        <w:spacing w:after="0" w:line="240"/>
        <w:ind w:firstLine="288"/>
        <w:jc w:val="both"/>
      </w:pPr>
      <w:r>
        <w:rPr>
          <w:rFonts w:ascii="Times New Roman" w:cs="Times New Roman" w:eastAsia="Times New Roman" w:hAnsi="Times New Roman"/>
          <w:sz w:val="20"/>
          <w:szCs w:val="20"/>
        </w:rPr>
        <w:t xml:space="preserve">Cassandra almacena de forma contigua, en memoria y disco, los datos de una misma partición, por lo que las consultas sobre datos continuos dentro de ella (por ejemplo, las lecturas de un sensor en un periodo) resultan especialmente eficientes [3].</w:t>
      </w:r>
    </w:p>
    <w:p>
      <w:pPr>
        <w:spacing w:after="0" w:line="240"/>
        <w:ind w:firstLine="288"/>
        <w:jc w:val="both"/>
      </w:pPr>
      <w:r>
        <w:rPr>
          <w:rFonts w:ascii="Times New Roman" w:cs="Times New Roman" w:eastAsia="Times New Roman" w:hAnsi="Times New Roman"/>
          <w:sz w:val="20"/>
          <w:szCs w:val="20"/>
        </w:rPr>
        <w:t xml:space="preserve">A diferencia de los sistemas relacionales, en un modelo de columnas anchas el diseño de las tablas se basa en las consultas que la aplicación debe satisfacer (diseño basado en consultas), en lugar de normalizar los datos según las relaciones entre las entidades. Esto significa que, en numerosas ocasiones, es fundamental replicar datos en varias tablas para mejorar diferentes patrones de acceso, una práctica que en el modelo relacional se vería como un incumplimiento de las formas normales, pero que en este contexto es beneficiosa para aumentar la eficiencia de lectura [3].</w:t>
      </w:r>
    </w:p>
    <w:p>
      <w:pPr>
        <w:spacing w:after="0" w:line="240"/>
        <w:ind w:firstLine="288"/>
        <w:jc w:val="both"/>
      </w:pPr>
      <w:r>
        <w:rPr>
          <w:rFonts w:ascii="Times New Roman" w:cs="Times New Roman" w:eastAsia="Times New Roman" w:hAnsi="Times New Roman"/>
          <w:sz w:val="20"/>
          <w:szCs w:val="20"/>
        </w:rPr>
        <w:t xml:space="preserve">Respecto a la consistencia de los datos, las bases de datos de columnas anchas como Apache Cassandra no proporcionan por defecto una consistencia inmediata entre réplicas, sino que permiten niveles de consistencia configurables de acuerdo con las necesidades de la aplicación. Esta propiedad, denominada consistencia eventual, permite equilibrar la disponibilidad y el rendimiento del sistema en relación a la precisión total de los datos en todo momento, y su configuración influye de manera directa y cuantificable en la latencia y el throughput del sistema [5].</w:t>
      </w:r>
    </w:p>
    <w:p>
      <w:pPr>
        <w:spacing w:after="0" w:line="240"/>
        <w:ind w:firstLine="288"/>
        <w:jc w:val="both"/>
      </w:pPr>
      <w:r>
        <w:rPr>
          <w:rFonts w:ascii="Times New Roman" w:cs="Times New Roman" w:eastAsia="Times New Roman" w:hAnsi="Times New Roman"/>
          <w:sz w:val="20"/>
          <w:szCs w:val="20"/>
        </w:rPr>
        <w:t xml:space="preserve">Finalmente, la escalabilidad horizontal es una característica esencial de este modelo: el sistema puede expandirse incorporando más nodos al clúster, sin que esto requiera interrupciones en el servicio ni una reconfiguración manual complicada, lo que es especialmente importante para aplicaciones que, como el monitoreo de sensores, producen volúmenes de datos en aumento de manera continua a lo largo del tiempo [3].</w:t>
      </w:r>
    </w:p>
    <w:p>
      <w:pPr>
        <w:pStyle w:val="Heading1"/>
      </w:pPr>
      <w:r>
        <w:rPr>
          <w:rFonts w:ascii="Times New Roman" w:cs="Times New Roman" w:eastAsia="Times New Roman" w:hAnsi="Times New Roman"/>
        </w:rPr>
        <w:t xml:space="preserve">III. Tecnología Seleccionada</w:t>
      </w:r>
    </w:p>
    <w:p>
      <w:pPr>
        <w:pStyle w:val="Heading2"/>
      </w:pPr>
      <w:r>
        <w:rPr>
          <w:rFonts w:ascii="Times New Roman" w:cs="Times New Roman" w:eastAsia="Times New Roman" w:hAnsi="Times New Roman"/>
        </w:rPr>
        <w:t xml:space="preserve">A. Apache Cassandra 5.0.9</w:t>
      </w:r>
    </w:p>
    <w:p>
      <w:pPr>
        <w:spacing w:after="0" w:line="240"/>
        <w:ind w:firstLine="288"/>
        <w:jc w:val="both"/>
      </w:pPr>
      <w:r>
        <w:rPr>
          <w:rFonts w:ascii="Times New Roman" w:cs="Times New Roman" w:eastAsia="Times New Roman" w:hAnsi="Times New Roman"/>
          <w:sz w:val="20"/>
          <w:szCs w:val="20"/>
        </w:rPr>
        <w:t xml:space="preserve">Para la implementación de la solución se optó por Apache Cassandra, una base de datos NoSQL de código abierto que se enmarca en el modelo de columnas anchas y que fue diseñada para manejar grandes volúmenes de datos a través de múltiples nodos. Su arquitectura de tipo peer-to-peer, sin un nodo maestro, elimina los puntos únicos de fallo y permite que cualquier nodo dentro del clúster gestione solicitudes tanto de lectura como de escritura, lo que la hace ideal para un sistema de monitoreo que necesita funcionar de manera continua [4]. Originalmente desarrollada en Facebook y liberada como proyecto open source en 2008, hoy es mantenida por la Apache Software Foundation. Sus características principales son:</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Arquitectura peer-to-peer:</w:t>
      </w:r>
      <w:r>
        <w:rPr>
          <w:rFonts w:ascii="Times New Roman" w:cs="Times New Roman" w:eastAsia="Times New Roman" w:hAnsi="Times New Roman"/>
          <w:sz w:val="20"/>
          <w:szCs w:val="20"/>
        </w:rPr>
        <w:t xml:space="preserve"> todos los nodos son iguales, sin maestro.</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Escalabilidad horizontal lineal:</w:t>
      </w:r>
      <w:r>
        <w:rPr>
          <w:rFonts w:ascii="Times New Roman" w:cs="Times New Roman" w:eastAsia="Times New Roman" w:hAnsi="Times New Roman"/>
          <w:sz w:val="20"/>
          <w:szCs w:val="20"/>
        </w:rPr>
        <w:t xml:space="preserve"> agregar nodos aumenta la capacidad proporcionalmente.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Alta disponibilidad:</w:t>
      </w:r>
      <w:r>
        <w:rPr>
          <w:rFonts w:ascii="Times New Roman" w:cs="Times New Roman" w:eastAsia="Times New Roman" w:hAnsi="Times New Roman"/>
          <w:sz w:val="20"/>
          <w:szCs w:val="20"/>
        </w:rPr>
        <w:t xml:space="preserve"> replicación configurable y sin downtime.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Consistencia ajustable:</w:t>
      </w:r>
      <w:r>
        <w:rPr>
          <w:rFonts w:ascii="Times New Roman" w:cs="Times New Roman" w:eastAsia="Times New Roman" w:hAnsi="Times New Roman"/>
          <w:sz w:val="20"/>
          <w:szCs w:val="20"/>
        </w:rPr>
        <w:t xml:space="preserve"> desde ONE hasta ALL.</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Modelo wide-column:</w:t>
      </w:r>
      <w:r>
        <w:rPr>
          <w:rFonts w:ascii="Times New Roman" w:cs="Times New Roman" w:eastAsia="Times New Roman" w:hAnsi="Times New Roman"/>
          <w:sz w:val="20"/>
          <w:szCs w:val="20"/>
        </w:rPr>
        <w:t xml:space="preserve"> ideal para series de tiempo.</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CQL (Cassandra Query Language):</w:t>
      </w:r>
      <w:r>
        <w:rPr>
          <w:rFonts w:ascii="Times New Roman" w:cs="Times New Roman" w:eastAsia="Times New Roman" w:hAnsi="Times New Roman"/>
          <w:sz w:val="20"/>
          <w:szCs w:val="20"/>
        </w:rPr>
        <w:t xml:space="preserve"> sintaxis similar a SQL.</w:t>
      </w:r>
    </w:p>
    <w:p>
      <w:pPr>
        <w:pStyle w:val="Heading2"/>
      </w:pPr>
      <w:r>
        <w:rPr>
          <w:rFonts w:ascii="Times New Roman" w:cs="Times New Roman" w:eastAsia="Times New Roman" w:hAnsi="Times New Roman"/>
        </w:rPr>
        <w:t xml:space="preserve">B. Justificación de la elección</w:t>
      </w:r>
    </w:p>
    <w:p>
      <w:pPr>
        <w:spacing w:after="0" w:line="240"/>
        <w:ind w:firstLine="288"/>
        <w:jc w:val="both"/>
      </w:pPr>
      <w:r>
        <w:rPr>
          <w:rFonts w:ascii="Times New Roman" w:cs="Times New Roman" w:eastAsia="Times New Roman" w:hAnsi="Times New Roman"/>
          <w:sz w:val="20"/>
          <w:szCs w:val="20"/>
        </w:rPr>
        <w:t xml:space="preserve">La selección de Cassandra en lugar de otras opciones de columnas anchas (Tabla I) está respaldada por varios factores. Primero, las pruebas experimentales de rendimiento indican que la base de datos se escala favorablemente al incrementar el número de nodos, mejorando notablemente los tiempos de respuesta en cargas de lectura y escritura con grandes volúmenes de datos [4]. En segundo lugar, su modelo de consistencia ajustable (configurable a través de niveles como ONE, QUORUM o ALL) permite encontrar un balance entre la disponibilidad del sistema y la precisión de los datos ofrecidos, lo que es una elección de diseño que afecta directamente el rendimiento observado en las evaluaciones [5].</w:t>
      </w:r>
    </w:p>
    <w:p>
      <w:pPr>
        <w:keepNext/>
        <w:spacing w:after="0" w:before="120"/>
        <w:jc w:val="center"/>
      </w:pPr>
      <w:r>
        <w:rPr>
          <w:rFonts w:ascii="Times New Roman" w:cs="Times New Roman" w:eastAsia="Times New Roman" w:hAnsi="Times New Roman"/>
          <w:sz w:val="16"/>
          <w:szCs w:val="16"/>
        </w:rPr>
        <w:t xml:space="preserve">TABLA I</w:t>
      </w:r>
    </w:p>
    <w:p>
      <w:pPr>
        <w:keepNext/>
        <w:spacing w:after="60"/>
        <w:jc w:val="center"/>
      </w:pPr>
      <w:r>
        <w:rPr>
          <w:rFonts w:ascii="Times New Roman" w:cs="Times New Roman" w:eastAsia="Times New Roman" w:hAnsi="Times New Roman"/>
          <w:smallCaps/>
          <w:sz w:val="16"/>
          <w:szCs w:val="16"/>
        </w:rPr>
        <w:t xml:space="preserve">Alternativas consideradas y motivo de descarte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3790"/>
      </w:tblGrid>
      <w:tr>
        <w:trPr>
          <w:cantSplit/>
          <w:tblHeader/>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Alternativa</w:t>
            </w:r>
          </w:p>
        </w:tc>
        <w:tc>
          <w:tcPr>
            <w:tcW w:type="dxa" w:w="37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Motivo del descarte</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ScyllaDB</w:t>
            </w:r>
          </w:p>
        </w:tc>
        <w:tc>
          <w:tcPr>
            <w:tcW w:type="dxa" w:w="37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Compatible con CQL, pero con menos documentación y comunidad más pequeña.</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Apache HBase</w:t>
            </w:r>
          </w:p>
        </w:tc>
        <w:tc>
          <w:tcPr>
            <w:tcW w:type="dxa" w:w="37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Requiere Hadoop y Zookeeper; mayor complejidad operativa.</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Google Cloud Bigtable</w:t>
            </w:r>
          </w:p>
        </w:tc>
        <w:tc>
          <w:tcPr>
            <w:tcW w:type="dxa" w:w="37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Dependencia de la nube; el proyecto debe ser reproducible localmente.</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Apache Cassandra</w:t>
            </w:r>
          </w:p>
        </w:tc>
        <w:tc>
          <w:tcPr>
            <w:tcW w:type="dxa" w:w="37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Elegida:</w:t>
            </w:r>
            <w:r>
              <w:rPr>
                <w:rFonts w:ascii="Times New Roman" w:cs="Times New Roman" w:eastAsia="Times New Roman" w:hAnsi="Times New Roman"/>
                <w:b w:val="false"/>
                <w:bCs w:val="false"/>
                <w:sz w:val="16"/>
                <w:szCs w:val="16"/>
              </w:rPr>
              <w:t xml:space="preserve"> open source, madura, ampliamente documentada, fácil de levantar con Docker.</w:t>
            </w:r>
          </w:p>
        </w:tc>
      </w:tr>
    </w:tbl>
    <w:p>
      <w:pPr>
        <w:spacing w:after="0" w:before="0" w:line="160"/>
      </w:pPr>
      <w:r>
        <w:rPr>
          <w:sz w:val="8"/>
          <w:szCs w:val="8"/>
        </w:rPr>
        <w:t xml:space="preserve"/>
      </w:r>
    </w:p>
    <w:p>
      <w:pPr>
        <w:spacing w:after="0" w:line="240"/>
        <w:ind w:firstLine="288"/>
        <w:jc w:val="both"/>
      </w:pPr>
      <w:r>
        <w:rPr>
          <w:rFonts w:ascii="Times New Roman" w:cs="Times New Roman" w:eastAsia="Times New Roman" w:hAnsi="Times New Roman"/>
          <w:sz w:val="20"/>
          <w:szCs w:val="20"/>
        </w:rPr>
        <w:t xml:space="preserve">Además, Cassandra es gratuita y de código abierto bajo la licencia Apache 2.0, y se puede desplegar de manera reproducible utilizando contenedores Docker en cualquier sistema operativo que soporte dicha tecnología, cumpliendo así con el requerimiento de que la solución funcione sin depender de licencias costosas ni de credenciales privadas.</w:t>
      </w:r>
    </w:p>
    <w:p>
      <w:pPr>
        <w:pStyle w:val="Heading2"/>
      </w:pPr>
      <w:r>
        <w:rPr>
          <w:rFonts w:ascii="Times New Roman" w:cs="Times New Roman" w:eastAsia="Times New Roman" w:hAnsi="Times New Roman"/>
        </w:rPr>
        <w:t xml:space="preserve">C. Versión y entorno</w:t>
      </w:r>
    </w:p>
    <w:p>
      <w:pPr>
        <w:spacing w:after="0" w:line="240"/>
        <w:ind w:firstLine="288"/>
        <w:jc w:val="both"/>
      </w:pPr>
      <w:r>
        <w:rPr>
          <w:rFonts w:ascii="Times New Roman" w:cs="Times New Roman" w:eastAsia="Times New Roman" w:hAnsi="Times New Roman"/>
          <w:sz w:val="20"/>
          <w:szCs w:val="20"/>
        </w:rPr>
        <w:t xml:space="preserve">Se utilizó Apache Cassandra 5.0.9, desplegada mediante Docker en un contenedor único (clúster “AquaSenseCluster”). Para el entorno de desarrollo se empleó la estrategia de replicación </w:t>
      </w:r>
      <w:r>
        <w:rPr>
          <w:rFonts w:ascii="Courier New" w:cs="Courier New" w:eastAsia="Courier New" w:hAnsi="Courier New"/>
          <w:sz w:val="17"/>
          <w:szCs w:val="17"/>
        </w:rPr>
        <w:t xml:space="preserve">SimpleStrategy</w:t>
      </w:r>
      <w:r>
        <w:rPr>
          <w:rFonts w:ascii="Times New Roman" w:cs="Times New Roman" w:eastAsia="Times New Roman" w:hAnsi="Times New Roman"/>
          <w:sz w:val="20"/>
          <w:szCs w:val="20"/>
        </w:rPr>
        <w:t xml:space="preserve"> con factor de replicación 1; para un entorno de producción se documenta el uso recomendado de </w:t>
      </w:r>
      <w:r>
        <w:rPr>
          <w:rFonts w:ascii="Courier New" w:cs="Courier New" w:eastAsia="Courier New" w:hAnsi="Courier New"/>
          <w:sz w:val="17"/>
          <w:szCs w:val="17"/>
        </w:rPr>
        <w:t xml:space="preserve">NetworkTopologyStrategy</w:t>
      </w:r>
      <w:r>
        <w:rPr>
          <w:rFonts w:ascii="Times New Roman" w:cs="Times New Roman" w:eastAsia="Times New Roman" w:hAnsi="Times New Roman"/>
          <w:sz w:val="20"/>
          <w:szCs w:val="20"/>
        </w:rPr>
        <w:t xml:space="preserve"> con factor de replicación 3 (RF=3).</w:t>
      </w:r>
    </w:p>
    <w:p>
      <w:pPr>
        <w:pStyle w:val="Heading1"/>
      </w:pPr>
      <w:r>
        <w:rPr>
          <w:rFonts w:ascii="Times New Roman" w:cs="Times New Roman" w:eastAsia="Times New Roman" w:hAnsi="Times New Roman"/>
        </w:rPr>
        <w:t xml:space="preserve">IV. Modelo y Arquitectura</w:t>
      </w:r>
    </w:p>
    <w:p>
      <w:pPr>
        <w:pStyle w:val="Heading2"/>
      </w:pPr>
      <w:r>
        <w:rPr>
          <w:rFonts w:ascii="Times New Roman" w:cs="Times New Roman" w:eastAsia="Times New Roman" w:hAnsi="Times New Roman"/>
        </w:rPr>
        <w:t xml:space="preserve">A. Filosofía de modelado</w:t>
      </w:r>
    </w:p>
    <w:p>
      <w:pPr>
        <w:spacing w:after="0" w:line="240"/>
        <w:ind w:firstLine="288"/>
        <w:jc w:val="both"/>
      </w:pPr>
      <w:r>
        <w:rPr>
          <w:rFonts w:ascii="Times New Roman" w:cs="Times New Roman" w:eastAsia="Times New Roman" w:hAnsi="Times New Roman"/>
          <w:sz w:val="20"/>
          <w:szCs w:val="20"/>
        </w:rPr>
        <w:t xml:space="preserve">Cassandra es </w:t>
      </w:r>
      <w:r>
        <w:rPr>
          <w:rFonts w:ascii="Times New Roman" w:cs="Times New Roman" w:eastAsia="Times New Roman" w:hAnsi="Times New Roman"/>
          <w:i/>
          <w:iCs/>
          <w:sz w:val="20"/>
          <w:szCs w:val="20"/>
        </w:rPr>
        <w:t xml:space="preserve">query-driven</w:t>
      </w:r>
      <w:r>
        <w:rPr>
          <w:rFonts w:ascii="Times New Roman" w:cs="Times New Roman" w:eastAsia="Times New Roman" w:hAnsi="Times New Roman"/>
          <w:sz w:val="20"/>
          <w:szCs w:val="20"/>
        </w:rPr>
        <w:t xml:space="preserve">: las tablas se diseñan a partir de las consultas, no de un modelo normalizado. Cada consulta frecuente tiene su propia tabla desnormalizada, ya que Cassandra no soporta joins eficientes.</w:t>
      </w:r>
    </w:p>
    <w:p>
      <w:pPr>
        <w:spacing w:after="0" w:line="240"/>
        <w:ind w:firstLine="288"/>
        <w:jc w:val="both"/>
      </w:pPr>
      <w:r>
        <w:rPr>
          <w:rFonts w:ascii="Times New Roman" w:cs="Times New Roman" w:eastAsia="Times New Roman" w:hAnsi="Times New Roman"/>
          <w:sz w:val="20"/>
          <w:szCs w:val="20"/>
        </w:rPr>
        <w:t xml:space="preserve">Este método sugiere que, antes de crear cualquier tabla, es esencial determinar con exactitud los patrones de acceso que la aplicación deberá manejar. Para AquaSense CR, esos patrones se relacionan con los siete requisitos esenciales establecidos para el caso: verificación de lecturas recientes por sensor, consulta por área y tiempo, identificación de anomalías, y creación de resúmenes consolidados, entre otros.</w:t>
      </w:r>
    </w:p>
    <w:p>
      <w:pPr>
        <w:pStyle w:val="Heading2"/>
      </w:pPr>
      <w:r>
        <w:rPr>
          <w:rFonts w:ascii="Times New Roman" w:cs="Times New Roman" w:eastAsia="Times New Roman" w:hAnsi="Times New Roman"/>
        </w:rPr>
        <w:t xml:space="preserve">B. Tablas del modelo</w:t>
      </w:r>
    </w:p>
    <w:p>
      <w:pPr>
        <w:spacing w:after="0" w:line="240"/>
        <w:ind w:firstLine="288"/>
        <w:jc w:val="both"/>
      </w:pPr>
      <w:r>
        <w:rPr>
          <w:rFonts w:ascii="Times New Roman" w:cs="Times New Roman" w:eastAsia="Times New Roman" w:hAnsi="Times New Roman"/>
          <w:sz w:val="20"/>
          <w:szCs w:val="20"/>
        </w:rPr>
        <w:t xml:space="preserve">El keyspace </w:t>
      </w:r>
      <w:r>
        <w:rPr>
          <w:rFonts w:ascii="Courier New" w:cs="Courier New" w:eastAsia="Courier New" w:hAnsi="Courier New"/>
          <w:sz w:val="17"/>
          <w:szCs w:val="17"/>
        </w:rPr>
        <w:t xml:space="preserve">aquasense</w:t>
      </w:r>
      <w:r>
        <w:rPr>
          <w:rFonts w:ascii="Times New Roman" w:cs="Times New Roman" w:eastAsia="Times New Roman" w:hAnsi="Times New Roman"/>
          <w:sz w:val="20"/>
          <w:szCs w:val="20"/>
        </w:rPr>
        <w:t xml:space="preserve"> contiene 8 tablas, que se resumen en la Tabla II.</w:t>
      </w:r>
    </w:p>
    <w:p>
      <w:pPr>
        <w:keepNext/>
        <w:spacing w:after="0" w:before="120"/>
        <w:jc w:val="center"/>
      </w:pPr>
      <w:r>
        <w:rPr>
          <w:rFonts w:ascii="Times New Roman" w:cs="Times New Roman" w:eastAsia="Times New Roman" w:hAnsi="Times New Roman"/>
          <w:sz w:val="16"/>
          <w:szCs w:val="16"/>
        </w:rPr>
        <w:t xml:space="preserve">TABLA II</w:t>
      </w:r>
    </w:p>
    <w:p>
      <w:pPr>
        <w:keepNext/>
        <w:spacing w:after="60"/>
        <w:jc w:val="center"/>
      </w:pPr>
      <w:r>
        <w:rPr>
          <w:rFonts w:ascii="Times New Roman" w:cs="Times New Roman" w:eastAsia="Times New Roman" w:hAnsi="Times New Roman"/>
          <w:smallCaps/>
          <w:sz w:val="16"/>
          <w:szCs w:val="16"/>
        </w:rPr>
        <w:t xml:space="preserve">Tablas del keyspace aquasense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1050"/>
        <w:gridCol w:w="1200"/>
        <w:gridCol w:w="1140"/>
      </w:tblGrid>
      <w:tr>
        <w:trPr>
          <w:cantSplit/>
          <w:tblHeader/>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Tabla</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Propósito</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Partition key</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Clustering key</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sensores</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Catálogo de sensores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sensor_id</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sensores_​por_​zona</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Sensores por zona</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zona</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sensor_id</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lecturas_​por_​sensor</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Series de tiempo por sensor</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(sensor_​id, bucket)</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fecha_​hora DESC</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lecturas_​por_​zona</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Series de tiempo por zona</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(zona, bucket)</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fecha_​hora DESC, sensor_​id ASC</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anomalias_​por_​sensor</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Anomalías por sensor</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(sensor_​id, bucket)</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fecha_​hora DESC</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anomalias_​por_​zona</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Anomalías por zona</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(zona, bucket)</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fecha_​hora DESC, sensor_​id ASC</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resumen_​diario_​zona</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Agregados diarios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zona</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dia DESC</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ultima_​lectura_​sensor</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Última lectura por sensor</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sensor_id</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w:t>
            </w:r>
          </w:p>
        </w:tc>
      </w:tr>
    </w:tbl>
    <w:p>
      <w:pPr>
        <w:spacing w:after="0" w:before="0" w:line="160"/>
      </w:pPr>
      <w:r>
        <w:rPr>
          <w:sz w:val="8"/>
          <w:szCs w:val="8"/>
        </w:rPr>
        <w:t xml:space="preserve"/>
      </w:r>
    </w:p>
    <w:p>
      <w:pPr>
        <w:spacing w:after="0" w:line="240"/>
        <w:ind w:firstLine="288"/>
        <w:jc w:val="both"/>
      </w:pPr>
      <w:r>
        <w:rPr>
          <w:rFonts w:ascii="Times New Roman" w:cs="Times New Roman" w:eastAsia="Times New Roman" w:hAnsi="Times New Roman"/>
          <w:sz w:val="20"/>
          <w:szCs w:val="20"/>
        </w:rPr>
        <w:t xml:space="preserve">Como se puede notar, las tablas </w:t>
      </w:r>
      <w:r>
        <w:rPr>
          <w:rFonts w:ascii="Courier New" w:cs="Courier New" w:eastAsia="Courier New" w:hAnsi="Courier New"/>
          <w:sz w:val="17"/>
          <w:szCs w:val="17"/>
        </w:rPr>
        <w:t xml:space="preserve">lecturas_​por_​sensor</w:t>
      </w:r>
      <w:r>
        <w:rPr>
          <w:rFonts w:ascii="Times New Roman" w:cs="Times New Roman" w:eastAsia="Times New Roman" w:hAnsi="Times New Roman"/>
          <w:sz w:val="20"/>
          <w:szCs w:val="20"/>
        </w:rPr>
        <w:t xml:space="preserve"> y </w:t>
      </w:r>
      <w:r>
        <w:rPr>
          <w:rFonts w:ascii="Courier New" w:cs="Courier New" w:eastAsia="Courier New" w:hAnsi="Courier New"/>
          <w:sz w:val="17"/>
          <w:szCs w:val="17"/>
        </w:rPr>
        <w:t xml:space="preserve">lecturas_​por_​zona</w:t>
      </w:r>
      <w:r>
        <w:rPr>
          <w:rFonts w:ascii="Times New Roman" w:cs="Times New Roman" w:eastAsia="Times New Roman" w:hAnsi="Times New Roman"/>
          <w:sz w:val="20"/>
          <w:szCs w:val="20"/>
        </w:rPr>
        <w:t xml:space="preserve"> abordan el mismo tipo de datos (las lecturas de los sensores), aunque divididas según dos criterios de acceso diferentes. Esta repetición intencionada de datos, que se evitaría en un modelo relacional normalizado, es justo lo que permite que ambas consultas (por sensor y por zona) se atiendan con acceso directo a la partición correspondiente, sin requerir operaciones adicionales de filtrado o combinación entre tablas [3].</w:t>
      </w:r>
    </w:p>
    <w:p>
      <w:pPr>
        <w:pStyle w:val="Heading2"/>
      </w:pPr>
      <w:r>
        <w:rPr>
          <w:rFonts w:ascii="Times New Roman" w:cs="Times New Roman" w:eastAsia="Times New Roman" w:hAnsi="Times New Roman"/>
        </w:rPr>
        <w:t xml:space="preserve">C. Decisiones clave de diseño</w:t>
      </w:r>
    </w:p>
    <w:p>
      <w:pPr>
        <w:pStyle w:val="ListParagraph"/>
        <w:numPr>
          <w:ilvl w:val="0"/>
          <w:numId w:val="3"/>
        </w:numPr>
        <w:spacing w:after="20" w:line="240"/>
        <w:jc w:val="both"/>
      </w:pPr>
      <w:r>
        <w:rPr>
          <w:rFonts w:ascii="Times New Roman" w:cs="Times New Roman" w:eastAsia="Times New Roman" w:hAnsi="Times New Roman"/>
          <w:b/>
          <w:bCs/>
          <w:sz w:val="20"/>
          <w:szCs w:val="20"/>
        </w:rPr>
        <w:t xml:space="preserve">Bucketing diario:</w:t>
      </w:r>
      <w:r>
        <w:rPr>
          <w:rFonts w:ascii="Times New Roman" w:cs="Times New Roman" w:eastAsia="Times New Roman" w:hAnsi="Times New Roman"/>
          <w:sz w:val="20"/>
          <w:szCs w:val="20"/>
        </w:rPr>
        <w:t xml:space="preserve"> el campo </w:t>
      </w:r>
      <w:r>
        <w:rPr>
          <w:rFonts w:ascii="Courier New" w:cs="Courier New" w:eastAsia="Courier New" w:hAnsi="Courier New"/>
          <w:sz w:val="17"/>
          <w:szCs w:val="17"/>
        </w:rPr>
        <w:t xml:space="preserve">bucket</w:t>
      </w:r>
      <w:r>
        <w:rPr>
          <w:rFonts w:ascii="Times New Roman" w:cs="Times New Roman" w:eastAsia="Times New Roman" w:hAnsi="Times New Roman"/>
          <w:sz w:val="20"/>
          <w:szCs w:val="20"/>
        </w:rPr>
        <w:t xml:space="preserve"> (tipo </w:t>
      </w:r>
      <w:r>
        <w:rPr>
          <w:rFonts w:ascii="Courier New" w:cs="Courier New" w:eastAsia="Courier New" w:hAnsi="Courier New"/>
          <w:sz w:val="17"/>
          <w:szCs w:val="17"/>
        </w:rPr>
        <w:t xml:space="preserve">date</w:t>
      </w:r>
      <w:r>
        <w:rPr>
          <w:rFonts w:ascii="Times New Roman" w:cs="Times New Roman" w:eastAsia="Times New Roman" w:hAnsi="Times New Roman"/>
          <w:sz w:val="20"/>
          <w:szCs w:val="20"/>
        </w:rPr>
        <w:t xml:space="preserve">) agrupa las lecturas por día para evitar particiones gigantes.</w:t>
      </w:r>
    </w:p>
    <w:p>
      <w:pPr>
        <w:pStyle w:val="ListParagraph"/>
        <w:numPr>
          <w:ilvl w:val="0"/>
          <w:numId w:val="3"/>
        </w:numPr>
        <w:spacing w:after="20" w:line="240"/>
        <w:jc w:val="both"/>
      </w:pPr>
      <w:r>
        <w:rPr>
          <w:rFonts w:ascii="Times New Roman" w:cs="Times New Roman" w:eastAsia="Times New Roman" w:hAnsi="Times New Roman"/>
          <w:b/>
          <w:bCs/>
          <w:sz w:val="20"/>
          <w:szCs w:val="20"/>
        </w:rPr>
        <w:t xml:space="preserve">Clustering DESC:</w:t>
      </w:r>
      <w:r>
        <w:rPr>
          <w:rFonts w:ascii="Times New Roman" w:cs="Times New Roman" w:eastAsia="Times New Roman" w:hAnsi="Times New Roman"/>
          <w:sz w:val="20"/>
          <w:szCs w:val="20"/>
        </w:rPr>
        <w:t xml:space="preserve"> las últimas lecturas se devuelven primero sin ordenamiento adicional.</w:t>
      </w:r>
    </w:p>
    <w:p>
      <w:pPr>
        <w:pStyle w:val="ListParagraph"/>
        <w:numPr>
          <w:ilvl w:val="0"/>
          <w:numId w:val="3"/>
        </w:numPr>
        <w:spacing w:after="20" w:line="240"/>
        <w:jc w:val="both"/>
      </w:pPr>
      <w:r>
        <w:rPr>
          <w:rFonts w:ascii="Times New Roman" w:cs="Times New Roman" w:eastAsia="Times New Roman" w:hAnsi="Times New Roman"/>
          <w:b/>
          <w:bCs/>
          <w:sz w:val="20"/>
          <w:szCs w:val="20"/>
        </w:rPr>
        <w:t xml:space="preserve">TimeWindowCompactionStrategy (TWCS):</w:t>
      </w:r>
      <w:r>
        <w:rPr>
          <w:rFonts w:ascii="Times New Roman" w:cs="Times New Roman" w:eastAsia="Times New Roman" w:hAnsi="Times New Roman"/>
          <w:sz w:val="20"/>
          <w:szCs w:val="20"/>
        </w:rPr>
        <w:t xml:space="preserve"> agrupa SSTables por ventana de 1 día, óptimo para series de tiempo.</w:t>
      </w:r>
    </w:p>
    <w:p>
      <w:pPr>
        <w:pStyle w:val="ListParagraph"/>
        <w:numPr>
          <w:ilvl w:val="0"/>
          <w:numId w:val="3"/>
        </w:numPr>
        <w:spacing w:after="20" w:line="240"/>
        <w:jc w:val="both"/>
      </w:pPr>
      <w:r>
        <w:rPr>
          <w:rFonts w:ascii="Times New Roman" w:cs="Times New Roman" w:eastAsia="Times New Roman" w:hAnsi="Times New Roman"/>
          <w:b/>
          <w:bCs/>
          <w:sz w:val="20"/>
          <w:szCs w:val="20"/>
        </w:rPr>
        <w:t xml:space="preserve">Desnormalización:</w:t>
      </w:r>
      <w:r>
        <w:rPr>
          <w:rFonts w:ascii="Times New Roman" w:cs="Times New Roman" w:eastAsia="Times New Roman" w:hAnsi="Times New Roman"/>
          <w:sz w:val="20"/>
          <w:szCs w:val="20"/>
        </w:rPr>
        <w:t xml:space="preserve"> cada lectura se escribe en </w:t>
      </w:r>
      <w:r>
        <w:rPr>
          <w:rFonts w:ascii="Courier New" w:cs="Courier New" w:eastAsia="Courier New" w:hAnsi="Courier New"/>
          <w:sz w:val="17"/>
          <w:szCs w:val="17"/>
        </w:rPr>
        <w:t xml:space="preserve">lecturas_​por_​sensor</w:t>
      </w:r>
      <w:r>
        <w:rPr>
          <w:rFonts w:ascii="Times New Roman" w:cs="Times New Roman" w:eastAsia="Times New Roman" w:hAnsi="Times New Roman"/>
          <w:sz w:val="20"/>
          <w:szCs w:val="20"/>
        </w:rPr>
        <w:t xml:space="preserve"> y </w:t>
      </w:r>
      <w:r>
        <w:rPr>
          <w:rFonts w:ascii="Courier New" w:cs="Courier New" w:eastAsia="Courier New" w:hAnsi="Courier New"/>
          <w:sz w:val="17"/>
          <w:szCs w:val="17"/>
        </w:rPr>
        <w:t xml:space="preserve">lecturas_​por_​zona</w:t>
      </w:r>
      <w:r>
        <w:rPr>
          <w:rFonts w:ascii="Times New Roman" w:cs="Times New Roman" w:eastAsia="Times New Roman" w:hAnsi="Times New Roman"/>
          <w:sz w:val="20"/>
          <w:szCs w:val="20"/>
        </w:rPr>
        <w:t xml:space="preserve">, aceptando el costo de escritura a cambio de lecturas rápidas.</w:t>
      </w:r>
    </w:p>
    <w:p>
      <w:pPr>
        <w:pStyle w:val="ListParagraph"/>
        <w:numPr>
          <w:ilvl w:val="0"/>
          <w:numId w:val="3"/>
        </w:numPr>
        <w:spacing w:after="20" w:line="240"/>
        <w:jc w:val="both"/>
      </w:pPr>
      <w:r>
        <w:rPr>
          <w:rFonts w:ascii="Times New Roman" w:cs="Times New Roman" w:eastAsia="Times New Roman" w:hAnsi="Times New Roman"/>
          <w:b/>
          <w:bCs/>
          <w:sz w:val="20"/>
          <w:szCs w:val="20"/>
        </w:rPr>
        <w:t xml:space="preserve">Tablas dedicadas para anomalías:</w:t>
      </w:r>
      <w:r>
        <w:rPr>
          <w:rFonts w:ascii="Times New Roman" w:cs="Times New Roman" w:eastAsia="Times New Roman" w:hAnsi="Times New Roman"/>
          <w:sz w:val="20"/>
          <w:szCs w:val="20"/>
        </w:rPr>
        <w:t xml:space="preserve"> evitan el uso de </w:t>
      </w:r>
      <w:r>
        <w:rPr>
          <w:rFonts w:ascii="Courier New" w:cs="Courier New" w:eastAsia="Courier New" w:hAnsi="Courier New"/>
          <w:sz w:val="17"/>
          <w:szCs w:val="17"/>
        </w:rPr>
        <w:t xml:space="preserve">ALLOW FILTERING</w:t>
      </w:r>
      <w:r>
        <w:rPr>
          <w:rFonts w:ascii="Times New Roman" w:cs="Times New Roman" w:eastAsia="Times New Roman" w:hAnsi="Times New Roman"/>
          <w:sz w:val="20"/>
          <w:szCs w:val="20"/>
        </w:rPr>
        <w:t xml:space="preserve">.</w:t>
      </w:r>
    </w:p>
    <w:p>
      <w:pPr>
        <w:spacing w:after="0" w:line="240"/>
        <w:ind w:firstLine="288"/>
        <w:jc w:val="both"/>
      </w:pPr>
      <w:r>
        <w:rPr>
          <w:rFonts w:ascii="Times New Roman" w:cs="Times New Roman" w:eastAsia="Times New Roman" w:hAnsi="Times New Roman"/>
          <w:sz w:val="20"/>
          <w:szCs w:val="20"/>
        </w:rPr>
        <w:t xml:space="preserve">El primer punto (bucketing diario) requiere atención especial, pues aborda directamente uno de los requisitos explícitos del caso: prevenir que una partición acumule un volumen de datos excesivo a medida que se expande el historial de mediciones. Sin este mecanismo, una partición definida exclusivamente por </w:t>
      </w:r>
      <w:r>
        <w:rPr>
          <w:rFonts w:ascii="Courier New" w:cs="Courier New" w:eastAsia="Courier New" w:hAnsi="Courier New"/>
          <w:sz w:val="17"/>
          <w:szCs w:val="17"/>
        </w:rPr>
        <w:t xml:space="preserve">sensor_id</w:t>
      </w:r>
      <w:r>
        <w:rPr>
          <w:rFonts w:ascii="Times New Roman" w:cs="Times New Roman" w:eastAsia="Times New Roman" w:hAnsi="Times New Roman"/>
          <w:sz w:val="20"/>
          <w:szCs w:val="20"/>
        </w:rPr>
        <w:t xml:space="preserve"> o por </w:t>
      </w:r>
      <w:r>
        <w:rPr>
          <w:rFonts w:ascii="Courier New" w:cs="Courier New" w:eastAsia="Courier New" w:hAnsi="Courier New"/>
          <w:sz w:val="17"/>
          <w:szCs w:val="17"/>
        </w:rPr>
        <w:t xml:space="preserve">zona</w:t>
      </w:r>
      <w:r>
        <w:rPr>
          <w:rFonts w:ascii="Times New Roman" w:cs="Times New Roman" w:eastAsia="Times New Roman" w:hAnsi="Times New Roman"/>
          <w:sz w:val="20"/>
          <w:szCs w:val="20"/>
        </w:rPr>
        <w:t xml:space="preserve"> se expandiría de manera indefinida con el tiempo, perjudicando el rendimiento de lectura de esa partición en particular [3].</w:t>
      </w:r>
    </w:p>
    <w:p>
      <w:pPr>
        <w:pStyle w:val="Heading2"/>
      </w:pPr>
      <w:r>
        <w:rPr>
          <w:rFonts w:ascii="Times New Roman" w:cs="Times New Roman" w:eastAsia="Times New Roman" w:hAnsi="Times New Roman"/>
        </w:rPr>
        <w:t xml:space="preserve">D. Arquitectura de la solución</w:t>
      </w:r>
    </w:p>
    <w:p>
      <w:pPr>
        <w:spacing w:after="0" w:line="240"/>
        <w:ind w:firstLine="288"/>
        <w:jc w:val="both"/>
      </w:pPr>
      <w:r>
        <w:rPr>
          <w:rFonts w:ascii="Times New Roman" w:cs="Times New Roman" w:eastAsia="Times New Roman" w:hAnsi="Times New Roman"/>
          <w:sz w:val="20"/>
          <w:szCs w:val="20"/>
        </w:rPr>
        <w:t xml:space="preserve">La arquitectura consta de cuatro capas:</w:t>
      </w:r>
    </w:p>
    <w:p>
      <w:pPr>
        <w:pStyle w:val="ListParagraph"/>
        <w:numPr>
          <w:ilvl w:val="0"/>
          <w:numId w:val="4"/>
        </w:numPr>
        <w:spacing w:after="20" w:line="240"/>
        <w:jc w:val="both"/>
      </w:pPr>
      <w:r>
        <w:rPr>
          <w:rFonts w:ascii="Times New Roman" w:cs="Times New Roman" w:eastAsia="Times New Roman" w:hAnsi="Times New Roman"/>
          <w:b/>
          <w:bCs/>
          <w:sz w:val="20"/>
          <w:szCs w:val="20"/>
        </w:rPr>
        <w:t xml:space="preserve">Capa de sensores:</w:t>
      </w:r>
      <w:r>
        <w:rPr>
          <w:rFonts w:ascii="Times New Roman" w:cs="Times New Roman" w:eastAsia="Times New Roman" w:hAnsi="Times New Roman"/>
          <w:sz w:val="20"/>
          <w:szCs w:val="20"/>
        </w:rPr>
        <w:t xml:space="preserve"> 1 000 sensores distribuidos en 20 zonas que generan telemetría continua.</w:t>
      </w:r>
    </w:p>
    <w:p>
      <w:pPr>
        <w:pStyle w:val="ListParagraph"/>
        <w:numPr>
          <w:ilvl w:val="0"/>
          <w:numId w:val="4"/>
        </w:numPr>
        <w:spacing w:after="20" w:line="240"/>
        <w:jc w:val="both"/>
      </w:pPr>
      <w:r>
        <w:rPr>
          <w:rFonts w:ascii="Times New Roman" w:cs="Times New Roman" w:eastAsia="Times New Roman" w:hAnsi="Times New Roman"/>
          <w:b/>
          <w:bCs/>
          <w:sz w:val="20"/>
          <w:szCs w:val="20"/>
        </w:rPr>
        <w:t xml:space="preserve">Capa de ingesta:</w:t>
      </w:r>
      <w:r>
        <w:rPr>
          <w:rFonts w:ascii="Times New Roman" w:cs="Times New Roman" w:eastAsia="Times New Roman" w:hAnsi="Times New Roman"/>
          <w:sz w:val="20"/>
          <w:szCs w:val="20"/>
        </w:rPr>
        <w:t xml:space="preserve"> scripts Python que generan y cargan los datos en lotes.</w:t>
      </w:r>
    </w:p>
    <w:p>
      <w:pPr>
        <w:pStyle w:val="ListParagraph"/>
        <w:numPr>
          <w:ilvl w:val="0"/>
          <w:numId w:val="4"/>
        </w:numPr>
        <w:spacing w:after="20" w:line="240"/>
        <w:jc w:val="both"/>
      </w:pPr>
      <w:r>
        <w:rPr>
          <w:rFonts w:ascii="Times New Roman" w:cs="Times New Roman" w:eastAsia="Times New Roman" w:hAnsi="Times New Roman"/>
          <w:b/>
          <w:bCs/>
          <w:sz w:val="20"/>
          <w:szCs w:val="20"/>
        </w:rPr>
        <w:t xml:space="preserve">Clúster Cassandra:</w:t>
      </w:r>
      <w:r>
        <w:rPr>
          <w:rFonts w:ascii="Times New Roman" w:cs="Times New Roman" w:eastAsia="Times New Roman" w:hAnsi="Times New Roman"/>
          <w:sz w:val="20"/>
          <w:szCs w:val="20"/>
        </w:rPr>
        <w:t xml:space="preserve"> nodo único en desarrollo (3 nodos en producción con RF=3).</w:t>
      </w:r>
    </w:p>
    <w:p>
      <w:pPr>
        <w:pStyle w:val="ListParagraph"/>
        <w:numPr>
          <w:ilvl w:val="0"/>
          <w:numId w:val="4"/>
        </w:numPr>
        <w:spacing w:after="20" w:line="240"/>
        <w:jc w:val="both"/>
      </w:pPr>
      <w:r>
        <w:rPr>
          <w:rFonts w:ascii="Times New Roman" w:cs="Times New Roman" w:eastAsia="Times New Roman" w:hAnsi="Times New Roman"/>
          <w:b/>
          <w:bCs/>
          <w:sz w:val="20"/>
          <w:szCs w:val="20"/>
        </w:rPr>
        <w:t xml:space="preserve">Capa de consulta:</w:t>
      </w:r>
      <w:r>
        <w:rPr>
          <w:rFonts w:ascii="Times New Roman" w:cs="Times New Roman" w:eastAsia="Times New Roman" w:hAnsi="Times New Roman"/>
          <w:sz w:val="20"/>
          <w:szCs w:val="20"/>
        </w:rPr>
        <w:t xml:space="preserve"> scripts CQL y Python que sirven las consultas operativas.</w:t>
      </w:r>
    </w:p>
    <w:p>
      <w:pPr>
        <w:pStyle w:val="Heading2"/>
      </w:pPr>
      <w:r>
        <w:rPr>
          <w:rFonts w:ascii="Times New Roman" w:cs="Times New Roman" w:eastAsia="Times New Roman" w:hAnsi="Times New Roman"/>
        </w:rPr>
        <w:t xml:space="preserve">E. Escalabilidad y alta disponibilidad</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Escalabilidad horizontal:</w:t>
      </w:r>
      <w:r>
        <w:rPr>
          <w:rFonts w:ascii="Times New Roman" w:cs="Times New Roman" w:eastAsia="Times New Roman" w:hAnsi="Times New Roman"/>
          <w:sz w:val="20"/>
          <w:szCs w:val="20"/>
        </w:rPr>
        <w:t xml:space="preserve"> agregar nodos distribuye datos automáticamente mediante consistent hashing.</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Replicación RF=3:</w:t>
      </w:r>
      <w:r>
        <w:rPr>
          <w:rFonts w:ascii="Times New Roman" w:cs="Times New Roman" w:eastAsia="Times New Roman" w:hAnsi="Times New Roman"/>
          <w:sz w:val="20"/>
          <w:szCs w:val="20"/>
        </w:rPr>
        <w:t xml:space="preserve"> cada dato existe en 3 nodos.</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Sin punto único de fallo:</w:t>
      </w:r>
      <w:r>
        <w:rPr>
          <w:rFonts w:ascii="Times New Roman" w:cs="Times New Roman" w:eastAsia="Times New Roman" w:hAnsi="Times New Roman"/>
          <w:sz w:val="20"/>
          <w:szCs w:val="20"/>
        </w:rPr>
        <w:t xml:space="preserve"> cualquier nodo puede responder consultas.</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Recuperación:</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nodetool repair</w:t>
      </w:r>
      <w:r>
        <w:rPr>
          <w:rFonts w:ascii="Times New Roman" w:cs="Times New Roman" w:eastAsia="Times New Roman" w:hAnsi="Times New Roman"/>
          <w:sz w:val="20"/>
          <w:szCs w:val="20"/>
        </w:rPr>
        <w:t xml:space="preserve"> sincroniza réplicas tras fallos.</w:t>
      </w:r>
    </w:p>
    <w:p>
      <w:pPr>
        <w:spacing w:after="0" w:line="240"/>
        <w:ind w:firstLine="288"/>
        <w:jc w:val="both"/>
      </w:pPr>
      <w:r>
        <w:rPr>
          <w:rFonts w:ascii="Times New Roman" w:cs="Times New Roman" w:eastAsia="Times New Roman" w:hAnsi="Times New Roman"/>
          <w:sz w:val="20"/>
          <w:szCs w:val="20"/>
        </w:rPr>
        <w:t xml:space="preserve">Es fundamental señalar que estas características de replicación y resistencia a fallos se refieren a la configuración sugerida para un entorno de producción (RF=3 de varios nodos). El entorno de pruebas empleado en este proyecto funciona con un solo nodo y un factor de replicación de 1, una configuración idónea para el desarrollo reproducible en una única máquina, aunque no permite evidenciar experimentalmente esas capacidades de replicación; esta restricción se aborda en la Sección VII.</w:t>
      </w:r>
    </w:p>
    <w:p>
      <w:pPr>
        <w:pStyle w:val="Heading1"/>
      </w:pPr>
      <w:r>
        <w:rPr>
          <w:rFonts w:ascii="Times New Roman" w:cs="Times New Roman" w:eastAsia="Times New Roman" w:hAnsi="Times New Roman"/>
        </w:rPr>
        <w:t xml:space="preserve">V. Implementación</w:t>
      </w:r>
    </w:p>
    <w:p>
      <w:pPr>
        <w:spacing w:after="0" w:line="240"/>
        <w:ind w:firstLine="288"/>
        <w:jc w:val="both"/>
      </w:pPr>
      <w:r>
        <w:rPr>
          <w:rFonts w:ascii="Times New Roman" w:cs="Times New Roman" w:eastAsia="Times New Roman" w:hAnsi="Times New Roman"/>
          <w:sz w:val="20"/>
          <w:szCs w:val="20"/>
        </w:rPr>
        <w:t xml:space="preserve">Se desarrolló un generador (</w:t>
      </w:r>
      <w:r>
        <w:rPr>
          <w:rFonts w:ascii="Courier New" w:cs="Courier New" w:eastAsia="Courier New" w:hAnsi="Courier New"/>
          <w:sz w:val="17"/>
          <w:szCs w:val="17"/>
        </w:rPr>
        <w:t xml:space="preserve">data/​generate_​data.py</w:t>
      </w:r>
      <w:r>
        <w:rPr>
          <w:rFonts w:ascii="Times New Roman" w:cs="Times New Roman" w:eastAsia="Times New Roman" w:hAnsi="Times New Roman"/>
          <w:sz w:val="20"/>
          <w:szCs w:val="20"/>
        </w:rPr>
        <w:t xml:space="preserve">) que genera datos sintéticos de forma reproducible utilizando una semilla constante, simulando 1 000 sensores distribuidos en 20 zonas que corresponden a cantones y ciudades de Costa Rica, con un volumen mínimo de 1 000 000 de mediciones y un porcentaje fijo del 2 % de lecturas anómalas incluidas intencionalmente para validar su detección posterior. El generador también recrea un patrón de consumo diario realista, modificando el caudal según la hora del día a través de una función senoidal que imita una mayor demanda durante el día y una menor en la madrugada.</w:t>
      </w:r>
    </w:p>
    <w:p>
      <w:pPr>
        <w:spacing w:after="0" w:line="240"/>
        <w:ind w:firstLine="288"/>
        <w:jc w:val="both"/>
      </w:pPr>
      <w:r>
        <w:rPr>
          <w:rFonts w:ascii="Times New Roman" w:cs="Times New Roman" w:eastAsia="Times New Roman" w:hAnsi="Times New Roman"/>
          <w:sz w:val="20"/>
          <w:szCs w:val="20"/>
        </w:rPr>
        <w:t xml:space="preserve">La carga de datos (</w:t>
      </w:r>
      <w:r>
        <w:rPr>
          <w:rFonts w:ascii="Courier New" w:cs="Courier New" w:eastAsia="Courier New" w:hAnsi="Courier New"/>
          <w:sz w:val="17"/>
          <w:szCs w:val="17"/>
        </w:rPr>
        <w:t xml:space="preserve">data/​load_​data.py</w:t>
      </w:r>
      <w:r>
        <w:rPr>
          <w:rFonts w:ascii="Times New Roman" w:cs="Times New Roman" w:eastAsia="Times New Roman" w:hAnsi="Times New Roman"/>
          <w:sz w:val="20"/>
          <w:szCs w:val="20"/>
        </w:rPr>
        <w:t xml:space="preserve">) se llevó a cabo a través de ingesta asíncrona mediante </w:t>
      </w:r>
      <w:r>
        <w:rPr>
          <w:rFonts w:ascii="Courier New" w:cs="Courier New" w:eastAsia="Courier New" w:hAnsi="Courier New"/>
          <w:sz w:val="17"/>
          <w:szCs w:val="17"/>
        </w:rPr>
        <w:t xml:space="preserve">execute_​concurrent</w:t>
      </w:r>
      <w:r>
        <w:rPr>
          <w:rFonts w:ascii="Times New Roman" w:cs="Times New Roman" w:eastAsia="Times New Roman" w:hAnsi="Times New Roman"/>
          <w:sz w:val="20"/>
          <w:szCs w:val="20"/>
        </w:rPr>
        <w:t xml:space="preserve"> del controlador oficial de Cassandra para Python, con un nivel de concurrencia ajustable (32 operaciones simultáneas por defecto). Las escrituras se llevan a cabo mediante sentencias preparadas (prepared statements) organizadas en lotes no registrados (UNLOGGED batches) de tamaño ajustable (50 filas por defecto), que se acumulan en un búfer antes de ser enviados al clúster (20 000 filas por defecto). Cassandra está optimizada para cargas intensivas de escritura gracias al uso secuencial del disco [4]. Para aprovecharlo, la carga combina escritura asíncrona concurrente, sentencias preparadas y lotes no registrados agrupados por partición.</w:t>
      </w:r>
    </w:p>
    <w:p>
      <w:pPr>
        <w:spacing w:after="0" w:line="240"/>
        <w:ind w:firstLine="288"/>
        <w:jc w:val="both"/>
      </w:pPr>
      <w:r>
        <w:rPr>
          <w:rFonts w:ascii="Times New Roman" w:cs="Times New Roman" w:eastAsia="Times New Roman" w:hAnsi="Times New Roman"/>
          <w:sz w:val="20"/>
          <w:szCs w:val="20"/>
        </w:rPr>
        <w:t xml:space="preserve">Las consultas correspondientes a cada requisito del caso se implementaron en los archivos </w:t>
      </w:r>
      <w:r>
        <w:rPr>
          <w:rFonts w:ascii="Courier New" w:cs="Courier New" w:eastAsia="Courier New" w:hAnsi="Courier New"/>
          <w:sz w:val="17"/>
          <w:szCs w:val="17"/>
        </w:rPr>
        <w:t xml:space="preserve">database/​queries/​consultas_​sensor.cql</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consultas_​zona.cql</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consultas_​anomalias.cql</w:t>
      </w:r>
      <w:r>
        <w:rPr>
          <w:rFonts w:ascii="Times New Roman" w:cs="Times New Roman" w:eastAsia="Times New Roman" w:hAnsi="Times New Roman"/>
          <w:sz w:val="20"/>
          <w:szCs w:val="20"/>
        </w:rPr>
        <w:t xml:space="preserve"> y </w:t>
      </w:r>
      <w:r>
        <w:rPr>
          <w:rFonts w:ascii="Courier New" w:cs="Courier New" w:eastAsia="Courier New" w:hAnsi="Courier New"/>
          <w:sz w:val="17"/>
          <w:szCs w:val="17"/>
        </w:rPr>
        <w:t xml:space="preserve">consultas_​resumen.cql</w:t>
      </w:r>
      <w:r>
        <w:rPr>
          <w:rFonts w:ascii="Times New Roman" w:cs="Times New Roman" w:eastAsia="Times New Roman" w:hAnsi="Times New Roman"/>
          <w:sz w:val="20"/>
          <w:szCs w:val="20"/>
        </w:rPr>
        <w:t xml:space="preserve">, ejecutadas a través de la consola </w:t>
      </w:r>
      <w:r>
        <w:rPr>
          <w:rFonts w:ascii="Courier New" w:cs="Courier New" w:eastAsia="Courier New" w:hAnsi="Courier New"/>
          <w:sz w:val="17"/>
          <w:szCs w:val="17"/>
        </w:rPr>
        <w:t xml:space="preserve">cqlsh</w:t>
      </w:r>
      <w:r>
        <w:rPr>
          <w:rFonts w:ascii="Times New Roman" w:cs="Times New Roman" w:eastAsia="Times New Roman" w:hAnsi="Times New Roman"/>
          <w:sz w:val="20"/>
          <w:szCs w:val="20"/>
        </w:rPr>
        <w:t xml:space="preserve"> del clúster.</w:t>
      </w:r>
    </w:p>
    <w:p>
      <w:pPr>
        <w:spacing w:after="0" w:line="240"/>
        <w:ind w:firstLine="288"/>
        <w:jc w:val="both"/>
      </w:pPr>
      <w:r>
        <w:rPr>
          <w:rFonts w:ascii="Times New Roman" w:cs="Times New Roman" w:eastAsia="Times New Roman" w:hAnsi="Times New Roman"/>
          <w:sz w:val="20"/>
          <w:szCs w:val="20"/>
        </w:rPr>
        <w:t xml:space="preserve">Las lecturas anómalas se producen a través de una probabilidad constante del 2 % que se aplica a cada medición simulada. Cuando una medición se identifica como anómala, se le asigna de manera aleatoria uno de seis tipos posibles de anomalía: fuga, baja presión, alta presión, temperatura elevada, caudal irregular o mala calidad. Cada clase de anomalía altera los valores de caudal, presión y temperatura de manera realista; por ejemplo, una fuga aumenta el caudal de 1.6 a 2.5 veces su valor original y disminuye la presión entre un 30 % y un 60 %. Este campo booleano (</w:t>
      </w:r>
      <w:r>
        <w:rPr>
          <w:rFonts w:ascii="Courier New" w:cs="Courier New" w:eastAsia="Courier New" w:hAnsi="Courier New"/>
          <w:sz w:val="17"/>
          <w:szCs w:val="17"/>
        </w:rPr>
        <w:t xml:space="preserve">anomalia</w:t>
      </w:r>
      <w:r>
        <w:rPr>
          <w:rFonts w:ascii="Times New Roman" w:cs="Times New Roman" w:eastAsia="Times New Roman" w:hAnsi="Times New Roman"/>
          <w:sz w:val="20"/>
          <w:szCs w:val="20"/>
        </w:rPr>
        <w:t xml:space="preserve">) se guarda directamente en las tablas de lecturas y se replica en las tablas específicas de anomalías (</w:t>
      </w:r>
      <w:r>
        <w:rPr>
          <w:rFonts w:ascii="Courier New" w:cs="Courier New" w:eastAsia="Courier New" w:hAnsi="Courier New"/>
          <w:sz w:val="17"/>
          <w:szCs w:val="17"/>
        </w:rPr>
        <w:t xml:space="preserve">anomalias_​por_​sensor</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anomalias_​por_​zona</w:t>
      </w:r>
      <w:r>
        <w:rPr>
          <w:rFonts w:ascii="Times New Roman" w:cs="Times New Roman" w:eastAsia="Times New Roman" w:hAnsi="Times New Roman"/>
          <w:sz w:val="20"/>
          <w:szCs w:val="20"/>
        </w:rPr>
        <w:t xml:space="preserve">), lo que elimina la necesidad de la operación </w:t>
      </w:r>
      <w:r>
        <w:rPr>
          <w:rFonts w:ascii="Courier New" w:cs="Courier New" w:eastAsia="Courier New" w:hAnsi="Courier New"/>
          <w:sz w:val="17"/>
          <w:szCs w:val="17"/>
        </w:rPr>
        <w:t xml:space="preserve">ALLOW FILTERING</w:t>
      </w:r>
      <w:r>
        <w:rPr>
          <w:rFonts w:ascii="Times New Roman" w:cs="Times New Roman" w:eastAsia="Times New Roman" w:hAnsi="Times New Roman"/>
          <w:sz w:val="20"/>
          <w:szCs w:val="20"/>
        </w:rPr>
        <w:t xml:space="preserve">.</w:t>
      </w:r>
    </w:p>
    <w:p>
      <w:pPr>
        <w:pStyle w:val="Heading1"/>
      </w:pPr>
      <w:r>
        <w:rPr>
          <w:rFonts w:ascii="Times New Roman" w:cs="Times New Roman" w:eastAsia="Times New Roman" w:hAnsi="Times New Roman"/>
        </w:rPr>
        <w:t xml:space="preserve">VI. Pruebas y Resultados</w:t>
      </w:r>
    </w:p>
    <w:p>
      <w:pPr>
        <w:pStyle w:val="Heading2"/>
      </w:pPr>
      <w:r>
        <w:rPr>
          <w:rFonts w:ascii="Times New Roman" w:cs="Times New Roman" w:eastAsia="Times New Roman" w:hAnsi="Times New Roman"/>
        </w:rPr>
        <w:t xml:space="preserve">A. Validación funcional</w:t>
      </w:r>
    </w:p>
    <w:p>
      <w:pPr>
        <w:spacing w:after="0" w:line="240"/>
        <w:ind w:firstLine="288"/>
        <w:jc w:val="both"/>
      </w:pPr>
      <w:r>
        <w:rPr>
          <w:rFonts w:ascii="Times New Roman" w:cs="Times New Roman" w:eastAsia="Times New Roman" w:hAnsi="Times New Roman"/>
          <w:sz w:val="20"/>
          <w:szCs w:val="20"/>
        </w:rPr>
        <w:t xml:space="preserve">Se validó el esquema de las 8 tablas con inserciones y consultas de verificación (</w:t>
      </w:r>
      <w:r>
        <w:rPr>
          <w:rFonts w:ascii="Courier New" w:cs="Courier New" w:eastAsia="Courier New" w:hAnsi="Courier New"/>
          <w:sz w:val="17"/>
          <w:szCs w:val="17"/>
        </w:rPr>
        <w:t xml:space="preserve">docs/​validacion-schema.md</w:t>
      </w:r>
      <w:r>
        <w:rPr>
          <w:rFonts w:ascii="Times New Roman" w:cs="Times New Roman" w:eastAsia="Times New Roman" w:hAnsi="Times New Roman"/>
          <w:sz w:val="20"/>
          <w:szCs w:val="20"/>
        </w:rPr>
        <w:t xml:space="preserve">). Además, se ejecutaron 9 pruebas de consultas (</w:t>
      </w:r>
      <w:r>
        <w:rPr>
          <w:rFonts w:ascii="Courier New" w:cs="Courier New" w:eastAsia="Courier New" w:hAnsi="Courier New"/>
          <w:sz w:val="17"/>
          <w:szCs w:val="17"/>
        </w:rPr>
        <w:t xml:space="preserve">tests/​test_​consultas.py</w:t>
      </w:r>
      <w:r>
        <w:rPr>
          <w:rFonts w:ascii="Times New Roman" w:cs="Times New Roman" w:eastAsia="Times New Roman" w:hAnsi="Times New Roman"/>
          <w:sz w:val="20"/>
          <w:szCs w:val="20"/>
        </w:rPr>
        <w:t xml:space="preserve">), que incluyen la cantidad de sensores y zonas y el rechazo de consultas sin clave de partición, y 3 pruebas de concurrencia (</w:t>
      </w:r>
      <w:r>
        <w:rPr>
          <w:rFonts w:ascii="Courier New" w:cs="Courier New" w:eastAsia="Courier New" w:hAnsi="Courier New"/>
          <w:sz w:val="17"/>
          <w:szCs w:val="17"/>
        </w:rPr>
        <w:t xml:space="preserve">tests/​test_​concurrencia.py</w:t>
      </w:r>
      <w:r>
        <w:rPr>
          <w:rFonts w:ascii="Times New Roman" w:cs="Times New Roman" w:eastAsia="Times New Roman" w:hAnsi="Times New Roman"/>
          <w:sz w:val="20"/>
          <w:szCs w:val="20"/>
        </w:rPr>
        <w:t xml:space="preserve">) en un keyspace aparte. Pasaron las 12. Todas las consultas se resuelven con la clave de partición completa, sin </w:t>
      </w:r>
      <w:r>
        <w:rPr>
          <w:rFonts w:ascii="Courier New" w:cs="Courier New" w:eastAsia="Courier New" w:hAnsi="Courier New"/>
          <w:sz w:val="17"/>
          <w:szCs w:val="17"/>
        </w:rPr>
        <w:t xml:space="preserve">ALLOW FILTERING</w:t>
      </w:r>
      <w:r>
        <w:rPr>
          <w:rFonts w:ascii="Times New Roman" w:cs="Times New Roman" w:eastAsia="Times New Roman" w:hAnsi="Times New Roman"/>
          <w:sz w:val="20"/>
          <w:szCs w:val="20"/>
        </w:rPr>
        <w:t xml:space="preserve"> ni recorridos completos de tabla.</w:t>
      </w:r>
    </w:p>
    <w:p>
      <w:pPr>
        <w:pStyle w:val="Heading2"/>
      </w:pPr>
      <w:r>
        <w:rPr>
          <w:rFonts w:ascii="Times New Roman" w:cs="Times New Roman" w:eastAsia="Times New Roman" w:hAnsi="Times New Roman"/>
        </w:rPr>
        <w:t xml:space="preserve">B. Entorno</w:t>
      </w:r>
    </w:p>
    <w:p>
      <w:pPr>
        <w:spacing w:after="0" w:line="240"/>
        <w:ind w:firstLine="288"/>
        <w:jc w:val="both"/>
      </w:pPr>
      <w:r>
        <w:rPr>
          <w:rFonts w:ascii="Times New Roman" w:cs="Times New Roman" w:eastAsia="Times New Roman" w:hAnsi="Times New Roman"/>
          <w:sz w:val="20"/>
          <w:szCs w:val="20"/>
        </w:rPr>
        <w:t xml:space="preserve">Windows 11 Home, Intel Core i7-1065G7 (4 núcleos, 8 hilos), 7 959 MB de RAM; Docker con 8 CPUs y 3.711 GiB; contenedor </w:t>
      </w:r>
      <w:r>
        <w:rPr>
          <w:rFonts w:ascii="Courier New" w:cs="Courier New" w:eastAsia="Courier New" w:hAnsi="Courier New"/>
          <w:sz w:val="17"/>
          <w:szCs w:val="17"/>
        </w:rPr>
        <w:t xml:space="preserve">aquasense</w:t>
      </w:r>
      <w:r>
        <w:rPr>
          <w:rFonts w:ascii="Times New Roman" w:cs="Times New Roman" w:eastAsia="Times New Roman" w:hAnsi="Times New Roman"/>
          <w:sz w:val="20"/>
          <w:szCs w:val="20"/>
        </w:rPr>
        <w:t xml:space="preserve"> con Cassandra 5.0.9, heap máximo de 1 024 MB, </w:t>
      </w:r>
      <w:r>
        <w:rPr>
          <w:rFonts w:ascii="Courier New" w:cs="Courier New" w:eastAsia="Courier New" w:hAnsi="Courier New"/>
          <w:sz w:val="17"/>
          <w:szCs w:val="17"/>
        </w:rPr>
        <w:t xml:space="preserve">SimpleStrategy</w:t>
      </w:r>
      <w:r>
        <w:rPr>
          <w:rFonts w:ascii="Times New Roman" w:cs="Times New Roman" w:eastAsia="Times New Roman" w:hAnsi="Times New Roman"/>
          <w:sz w:val="20"/>
          <w:szCs w:val="20"/>
        </w:rPr>
        <w:t xml:space="preserve"> y RF=1. El cliente Python y Cassandra corrieron en la misma máquina. Las latencias se midieron desde Python con sentencias preparadas, 5 repeticiones de calentamiento y 30 medidas por consulta, en tres corridas.</w:t>
      </w:r>
    </w:p>
    <w:p>
      <w:pPr>
        <w:pStyle w:val="Heading2"/>
      </w:pPr>
      <w:r>
        <w:rPr>
          <w:rFonts w:ascii="Times New Roman" w:cs="Times New Roman" w:eastAsia="Times New Roman" w:hAnsi="Times New Roman"/>
        </w:rPr>
        <w:t xml:space="preserve">C. Ingesta masiva</w:t>
      </w:r>
    </w:p>
    <w:p>
      <w:pPr>
        <w:spacing w:after="0" w:line="240"/>
        <w:ind w:firstLine="288"/>
        <w:jc w:val="both"/>
      </w:pPr>
      <w:r>
        <w:rPr>
          <w:rFonts w:ascii="Times New Roman" w:cs="Times New Roman" w:eastAsia="Times New Roman" w:hAnsi="Times New Roman"/>
          <w:sz w:val="20"/>
          <w:szCs w:val="20"/>
        </w:rPr>
        <w:t xml:space="preserve">Se cargaron 1 000 000 de mediciones de 1 000 sensores en 20 zonas con escritura asíncrona (</w:t>
      </w:r>
      <w:r>
        <w:rPr>
          <w:rFonts w:ascii="Courier New" w:cs="Courier New" w:eastAsia="Courier New" w:hAnsi="Courier New"/>
          <w:sz w:val="17"/>
          <w:szCs w:val="17"/>
        </w:rPr>
        <w:t xml:space="preserve">execute_​concurrent</w:t>
      </w:r>
      <w:r>
        <w:rPr>
          <w:rFonts w:ascii="Times New Roman" w:cs="Times New Roman" w:eastAsia="Times New Roman" w:hAnsi="Times New Roman"/>
          <w:sz w:val="20"/>
          <w:szCs w:val="20"/>
        </w:rPr>
        <w:t xml:space="preserve">, 32 operaciones simultáneas), sentencias preparadas y lotes no registrados de 50 filas agrupados por partición, aprovechando que Cassandra está optimizada para escritura intensiva [4]. Los resultados se muestran en la Tabla III.</w:t>
      </w:r>
    </w:p>
    <w:p>
      <w:pPr>
        <w:keepNext/>
        <w:spacing w:after="0" w:before="120"/>
        <w:jc w:val="center"/>
      </w:pPr>
      <w:r>
        <w:rPr>
          <w:rFonts w:ascii="Times New Roman" w:cs="Times New Roman" w:eastAsia="Times New Roman" w:hAnsi="Times New Roman"/>
          <w:sz w:val="16"/>
          <w:szCs w:val="16"/>
        </w:rPr>
        <w:t xml:space="preserve">TABLA III</w:t>
      </w:r>
    </w:p>
    <w:p>
      <w:pPr>
        <w:keepNext/>
        <w:spacing w:after="60"/>
        <w:jc w:val="center"/>
      </w:pPr>
      <w:r>
        <w:rPr>
          <w:rFonts w:ascii="Times New Roman" w:cs="Times New Roman" w:eastAsia="Times New Roman" w:hAnsi="Times New Roman"/>
          <w:smallCaps/>
          <w:sz w:val="16"/>
          <w:szCs w:val="16"/>
        </w:rPr>
        <w:t xml:space="preserve">Ingesta de 1 000 000 de mediciones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240"/>
      </w:tblGrid>
      <w:tr>
        <w:trPr>
          <w:cantSplit/>
          <w:tblHeader/>
        </w:trPr>
        <w:tc>
          <w:tcPr>
            <w:tcW w:type="dxa" w:w="2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Métrica</w:t>
            </w:r>
          </w:p>
        </w:tc>
        <w:tc>
          <w:tcPr>
            <w:tcW w:type="dxa" w:w="22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sz w:val="16"/>
                <w:szCs w:val="16"/>
              </w:rPr>
              <w:t xml:space="preserve">Valor</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Filas cargadas (verificadas)</w:t>
            </w:r>
          </w:p>
        </w:tc>
        <w:tc>
          <w:tcPr>
            <w:tcW w:type="dxa" w:w="22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1 000 000</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Tiempo</w:t>
            </w:r>
          </w:p>
        </w:tc>
        <w:tc>
          <w:tcPr>
            <w:tcW w:type="dxa" w:w="22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127.8 s</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Velocidad</w:t>
            </w:r>
          </w:p>
        </w:tc>
        <w:tc>
          <w:tcPr>
            <w:tcW w:type="dxa" w:w="22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7 824 filas/s</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Lotes enviados</w:t>
            </w:r>
          </w:p>
        </w:tc>
        <w:tc>
          <w:tcPr>
            <w:tcW w:type="dxa" w:w="22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95 866</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Anomalías</w:t>
            </w:r>
          </w:p>
        </w:tc>
        <w:tc>
          <w:tcPr>
            <w:tcW w:type="dxa" w:w="22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19 970 (2.00 %)</w:t>
            </w:r>
          </w:p>
        </w:tc>
      </w:tr>
    </w:tbl>
    <w:p>
      <w:pPr>
        <w:spacing w:after="0" w:before="0" w:line="160"/>
      </w:pPr>
      <w:r>
        <w:rPr>
          <w:sz w:val="8"/>
          <w:szCs w:val="8"/>
        </w:rPr>
        <w:t xml:space="preserve"/>
      </w:r>
    </w:p>
    <w:p>
      <w:pPr>
        <w:pStyle w:val="Heading2"/>
      </w:pPr>
      <w:r>
        <w:rPr>
          <w:rFonts w:ascii="Times New Roman" w:cs="Times New Roman" w:eastAsia="Times New Roman" w:hAnsi="Times New Roman"/>
        </w:rPr>
        <w:t xml:space="preserve">D. Latencia</w:t>
      </w:r>
    </w:p>
    <w:p>
      <w:pPr>
        <w:spacing w:after="0" w:line="240"/>
        <w:ind w:firstLine="288"/>
        <w:jc w:val="both"/>
      </w:pPr>
      <w:r>
        <w:rPr>
          <w:rFonts w:ascii="Times New Roman" w:cs="Times New Roman" w:eastAsia="Times New Roman" w:hAnsi="Times New Roman"/>
          <w:sz w:val="20"/>
          <w:szCs w:val="20"/>
        </w:rPr>
        <w:t xml:space="preserve">La Tabla IV presenta la mediana y el percentil 95 (p95) de la latencia de cada consulta en las corridas 2 y 3.</w:t>
      </w:r>
    </w:p>
    <w:p>
      <w:pPr>
        <w:keepNext/>
        <w:spacing w:after="0" w:before="120"/>
        <w:jc w:val="center"/>
      </w:pPr>
      <w:r>
        <w:rPr>
          <w:rFonts w:ascii="Times New Roman" w:cs="Times New Roman" w:eastAsia="Times New Roman" w:hAnsi="Times New Roman"/>
          <w:sz w:val="16"/>
          <w:szCs w:val="16"/>
        </w:rPr>
        <w:t xml:space="preserve">TABLA IV</w:t>
      </w:r>
    </w:p>
    <w:p>
      <w:pPr>
        <w:keepNext/>
        <w:spacing w:after="60"/>
        <w:jc w:val="center"/>
      </w:pPr>
      <w:r>
        <w:rPr>
          <w:rFonts w:ascii="Times New Roman" w:cs="Times New Roman" w:eastAsia="Times New Roman" w:hAnsi="Times New Roman"/>
          <w:smallCaps/>
          <w:sz w:val="16"/>
          <w:szCs w:val="16"/>
        </w:rPr>
        <w:t xml:space="preserve">Latencia mediana / p95 (ms) medida desde Python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840"/>
        <w:gridCol w:w="760"/>
        <w:gridCol w:w="1220"/>
        <w:gridCol w:w="1220"/>
      </w:tblGrid>
      <w:tr>
        <w:trPr>
          <w:cantSplit/>
          <w:tblHeader/>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Consulta</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sz w:val="16"/>
                <w:szCs w:val="16"/>
              </w:rPr>
              <w:t xml:space="preserve">Filas</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sz w:val="16"/>
                <w:szCs w:val="16"/>
              </w:rPr>
              <w:t xml:space="preserve">Corrida 2 (ms)</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sz w:val="16"/>
                <w:szCs w:val="16"/>
              </w:rPr>
              <w:t xml:space="preserve">Corrida 3 (ms)</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Última lectura de un sensor</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2.80 / 3.35</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2.37 / 2.66</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Últimas 10 lecturas</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10</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3.08 / 3.92</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2.58 / 3.37</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Sensor y 1 día</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96</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4.97 / 5.96</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4.55 / 5.59</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Sensor y 7 días</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664</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19.07 / 28.01</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13.24 / 16.64</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Zona y 1 día</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4 579</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47.04 / 93.25</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38.38 / 67.62</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Anomalías de un sensor</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2.2 (prom.)</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2.87 / 4.36</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3.04 / 4.34</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Anomalías de una zona</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90.6 (prom.)</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3.58 / 4.96</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3.25 / 3.77</w:t>
            </w:r>
          </w:p>
        </w:tc>
      </w:tr>
      <w:tr>
        <w:trPr>
          <w:cantSplit/>
        </w:trPr>
        <w:tc>
          <w:tcPr>
            <w:tcW w:type="dxa" w:w="18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sz w:val="16"/>
                <w:szCs w:val="16"/>
              </w:rPr>
              <w:t xml:space="preserve">Resumen diario de una zona</w:t>
            </w:r>
          </w:p>
        </w:tc>
        <w:tc>
          <w:tcPr>
            <w:tcW w:type="dxa" w:w="7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7</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2.87 / 3.70</w:t>
            </w:r>
          </w:p>
        </w:tc>
        <w:tc>
          <w:tcPr>
            <w:tcW w:type="dxa" w:w="122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2.32 / 2.70</w:t>
            </w:r>
          </w:p>
        </w:tc>
      </w:tr>
    </w:tbl>
    <w:p>
      <w:pPr>
        <w:spacing w:after="0" w:before="0" w:line="160"/>
      </w:pPr>
      <w:r>
        <w:rPr>
          <w:sz w:val="8"/>
          <w:szCs w:val="8"/>
        </w:rPr>
        <w:t xml:space="preserve"/>
      </w:r>
    </w:p>
    <w:p>
      <w:pPr>
        <w:pStyle w:val="Heading2"/>
      </w:pPr>
      <w:r>
        <w:rPr>
          <w:rFonts w:ascii="Times New Roman" w:cs="Times New Roman" w:eastAsia="Times New Roman" w:hAnsi="Times New Roman"/>
        </w:rPr>
        <w:t xml:space="preserve">E. Particionamiento y compactación</w:t>
      </w:r>
    </w:p>
    <w:p>
      <w:pPr>
        <w:spacing w:after="0" w:line="240"/>
        <w:ind w:firstLine="288"/>
        <w:jc w:val="both"/>
      </w:pPr>
      <w:r>
        <w:rPr>
          <w:rFonts w:ascii="Times New Roman" w:cs="Times New Roman" w:eastAsia="Times New Roman" w:hAnsi="Times New Roman"/>
          <w:sz w:val="20"/>
          <w:szCs w:val="20"/>
        </w:rPr>
        <w:t xml:space="preserve">La Tabla V resume el tamaño de las particiones tras la carga.</w:t>
      </w:r>
    </w:p>
    <w:p>
      <w:pPr>
        <w:keepNext/>
        <w:spacing w:after="0" w:before="120"/>
        <w:jc w:val="center"/>
      </w:pPr>
      <w:r>
        <w:rPr>
          <w:rFonts w:ascii="Times New Roman" w:cs="Times New Roman" w:eastAsia="Times New Roman" w:hAnsi="Times New Roman"/>
          <w:sz w:val="16"/>
          <w:szCs w:val="16"/>
        </w:rPr>
        <w:t xml:space="preserve">TABLA V</w:t>
      </w:r>
    </w:p>
    <w:p>
      <w:pPr>
        <w:keepNext/>
        <w:spacing w:after="60"/>
        <w:jc w:val="center"/>
      </w:pPr>
      <w:r>
        <w:rPr>
          <w:rFonts w:ascii="Times New Roman" w:cs="Times New Roman" w:eastAsia="Times New Roman" w:hAnsi="Times New Roman"/>
          <w:smallCaps/>
          <w:sz w:val="16"/>
          <w:szCs w:val="16"/>
        </w:rPr>
        <w:t xml:space="preserve">Tamaño de las particiones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1000"/>
        <w:gridCol w:w="1250"/>
        <w:gridCol w:w="1140"/>
      </w:tblGrid>
      <w:tr>
        <w:trPr>
          <w:cantSplit/>
          <w:tblHeader/>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sz w:val="16"/>
                <w:szCs w:val="16"/>
              </w:rPr>
              <w:t xml:space="preserve">Tabla</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sz w:val="16"/>
                <w:szCs w:val="16"/>
              </w:rPr>
              <w:t xml:space="preserve">Particiones</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sz w:val="16"/>
                <w:szCs w:val="16"/>
              </w:rPr>
              <w:t xml:space="preserve">Tamaño máx.</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sz w:val="16"/>
                <w:szCs w:val="16"/>
              </w:rPr>
              <w:t xml:space="preserve">Celdas máx.</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lecturas_​por_​sensor</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10 494</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6 866 B</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642</w:t>
            </w:r>
          </w:p>
        </w:tc>
      </w:tr>
      <w:tr>
        <w:trPr>
          <w:cantSplit/>
        </w:trPr>
        <w:tc>
          <w:tcPr>
            <w:tcW w:type="dxa" w:w="1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Courier New" w:cs="Courier New" w:eastAsia="Courier New" w:hAnsi="Courier New"/>
                <w:b w:val="false"/>
                <w:bCs w:val="false"/>
                <w:sz w:val="13"/>
                <w:szCs w:val="13"/>
              </w:rPr>
              <w:t xml:space="preserve">lecturas_​por_​zona</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220</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379 022 B</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sz w:val="16"/>
                <w:szCs w:val="16"/>
              </w:rPr>
              <w:t xml:space="preserve">24 601</w:t>
            </w:r>
          </w:p>
        </w:tc>
      </w:tr>
    </w:tbl>
    <w:p>
      <w:pPr>
        <w:spacing w:after="0" w:before="0" w:line="160"/>
      </w:pPr>
      <w:r>
        <w:rPr>
          <w:sz w:val="8"/>
          <w:szCs w:val="8"/>
        </w:rPr>
        <w:t xml:space="preserve"/>
      </w:r>
    </w:p>
    <w:p>
      <w:pPr>
        <w:spacing w:after="0" w:line="240"/>
        <w:ind w:firstLine="288"/>
        <w:jc w:val="both"/>
      </w:pPr>
      <w:r>
        <w:rPr>
          <w:rFonts w:ascii="Times New Roman" w:cs="Times New Roman" w:eastAsia="Times New Roman" w:hAnsi="Times New Roman"/>
          <w:sz w:val="20"/>
          <w:szCs w:val="20"/>
        </w:rPr>
        <w:t xml:space="preserve">Ambas quedan muy por debajo de los 100 MB que el diseño toma como referencia. Con una versión previa del generador de 7 zonas, la partición zona-día llegó a 943 127 bytes y la consulta por zona y día a 201.5 ms de mediana (frente a 38 a 47 ms con 20 zonas), lo que muestra que el tamaño de la partición gobierna esa consulta. Se configuró </w:t>
      </w:r>
      <w:r>
        <w:rPr>
          <w:rFonts w:ascii="Courier New" w:cs="Courier New" w:eastAsia="Courier New" w:hAnsi="Courier New"/>
          <w:sz w:val="17"/>
          <w:szCs w:val="17"/>
        </w:rPr>
        <w:t xml:space="preserve">TimeWindowCompactionStrategy</w:t>
      </w:r>
      <w:r>
        <w:rPr>
          <w:rFonts w:ascii="Times New Roman" w:cs="Times New Roman" w:eastAsia="Times New Roman" w:hAnsi="Times New Roman"/>
          <w:sz w:val="20"/>
          <w:szCs w:val="20"/>
        </w:rPr>
        <w:t xml:space="preserve"> con ventanas de un día, pero con 11 días de datos no se midió su efecto.</w:t>
      </w:r>
    </w:p>
    <w:p>
      <w:pPr>
        <w:pStyle w:val="Heading1"/>
      </w:pPr>
      <w:r>
        <w:rPr>
          <w:rFonts w:ascii="Times New Roman" w:cs="Times New Roman" w:eastAsia="Times New Roman" w:hAnsi="Times New Roman"/>
        </w:rPr>
        <w:t xml:space="preserve">VII. Limitaciones</w:t>
      </w:r>
    </w:p>
    <w:p>
      <w:pPr>
        <w:spacing w:after="0" w:line="240"/>
        <w:ind w:firstLine="288"/>
        <w:jc w:val="both"/>
      </w:pPr>
      <w:r>
        <w:rPr>
          <w:rFonts w:ascii="Times New Roman" w:cs="Times New Roman" w:eastAsia="Times New Roman" w:hAnsi="Times New Roman"/>
          <w:sz w:val="20"/>
          <w:szCs w:val="20"/>
        </w:rPr>
        <w:t xml:space="preserve">El clúster es un único nodo con </w:t>
      </w:r>
      <w:r>
        <w:rPr>
          <w:rFonts w:ascii="Courier New" w:cs="Courier New" w:eastAsia="Courier New" w:hAnsi="Courier New"/>
          <w:sz w:val="17"/>
          <w:szCs w:val="17"/>
        </w:rPr>
        <w:t xml:space="preserve">SimpleStrategy</w:t>
      </w:r>
      <w:r>
        <w:rPr>
          <w:rFonts w:ascii="Times New Roman" w:cs="Times New Roman" w:eastAsia="Times New Roman" w:hAnsi="Times New Roman"/>
          <w:sz w:val="20"/>
          <w:szCs w:val="20"/>
        </w:rPr>
        <w:t xml:space="preserve"> y RF=1, por lo que no se demuestran la replicación ni la tolerancia a fallos, y los niveles de consistencia ajustable [5] no se diferencian entre sí (el estudio de referencia usa tres nodos y RF=3). En producción se usaría </w:t>
      </w:r>
      <w:r>
        <w:rPr>
          <w:rFonts w:ascii="Courier New" w:cs="Courier New" w:eastAsia="Courier New" w:hAnsi="Courier New"/>
          <w:sz w:val="17"/>
          <w:szCs w:val="17"/>
        </w:rPr>
        <w:t xml:space="preserve">NetworkTopologyStrategy</w:t>
      </w:r>
      <w:r>
        <w:rPr>
          <w:rFonts w:ascii="Times New Roman" w:cs="Times New Roman" w:eastAsia="Times New Roman" w:hAnsi="Times New Roman"/>
          <w:sz w:val="20"/>
          <w:szCs w:val="20"/>
        </w:rPr>
        <w:t xml:space="preserve"> con RF=3. Cliente, servidor y </w:t>
      </w:r>
      <w:r>
        <w:rPr>
          <w:rFonts w:ascii="Courier New" w:cs="Courier New" w:eastAsia="Courier New" w:hAnsi="Courier New"/>
          <w:sz w:val="17"/>
          <w:szCs w:val="17"/>
        </w:rPr>
        <w:t xml:space="preserve">cassandra-stress</w:t>
      </w:r>
      <w:r>
        <w:rPr>
          <w:rFonts w:ascii="Times New Roman" w:cs="Times New Roman" w:eastAsia="Times New Roman" w:hAnsi="Times New Roman"/>
          <w:sz w:val="20"/>
          <w:szCs w:val="20"/>
        </w:rPr>
        <w:t xml:space="preserve"> comparten la misma máquina. La velocidad de carga varió entre 3 477 y 7 938 filas/s, y las filas/s del estrés no son comparables con las del cargador, que escribe en varias tablas. Los datos son sintéticos y cubren 11 días, así que no se observó el crecimiento de las particiones tras meses.</w:t>
      </w:r>
    </w:p>
    <w:p>
      <w:pPr>
        <w:spacing w:after="0" w:line="240"/>
        <w:ind w:firstLine="288"/>
        <w:jc w:val="both"/>
      </w:pPr>
      <w:r>
        <w:rPr>
          <w:rFonts w:ascii="Times New Roman" w:cs="Times New Roman" w:eastAsia="Times New Roman" w:hAnsi="Times New Roman"/>
          <w:sz w:val="20"/>
          <w:szCs w:val="20"/>
        </w:rPr>
        <w:t xml:space="preserve">La consulta por zona y día es un punto débil, ya que devuelve 4 579 filas. En un clúster real, todas las escrituras de una zona en un día terminan en la misma partición, lo que puede generar un riesgo de hotspot. Esto se podría mitigar usando un bucket horario o añadiendo un shard adicional.</w:t>
      </w:r>
    </w:p>
    <w:p>
      <w:pPr>
        <w:spacing w:after="0" w:line="240"/>
        <w:ind w:firstLine="288"/>
        <w:jc w:val="both"/>
      </w:pPr>
      <w:r>
        <w:rPr>
          <w:rFonts w:ascii="Times New Roman" w:cs="Times New Roman" w:eastAsia="Times New Roman" w:hAnsi="Times New Roman"/>
          <w:sz w:val="20"/>
          <w:szCs w:val="20"/>
        </w:rPr>
        <w:t xml:space="preserve">El generador marca las anomalías, pero el sistema solo las almacena y consulta, sin detectarlas. Cassandra no es adecuada para realizar agregaciones o análisis ad hoc, y las consultas que recorren muchas particiones afectan el rendimiento [3]. Por eso, el resumen diario se precalcula (en el prototipo, durante la carga).</w:t>
      </w:r>
    </w:p>
    <w:p>
      <w:pPr>
        <w:pStyle w:val="Heading1"/>
      </w:pPr>
      <w:r>
        <w:rPr>
          <w:rFonts w:ascii="Times New Roman" w:cs="Times New Roman" w:eastAsia="Times New Roman" w:hAnsi="Times New Roman"/>
        </w:rPr>
        <w:t xml:space="preserve">VIII. Conclusiones</w:t>
      </w:r>
    </w:p>
    <w:p>
      <w:pPr>
        <w:spacing w:after="0" w:line="240"/>
        <w:ind w:firstLine="288"/>
        <w:jc w:val="both"/>
      </w:pPr>
      <w:r>
        <w:rPr>
          <w:rFonts w:ascii="Times New Roman" w:cs="Times New Roman" w:eastAsia="Times New Roman" w:hAnsi="Times New Roman"/>
          <w:sz w:val="20"/>
          <w:szCs w:val="20"/>
        </w:rPr>
        <w:t xml:space="preserve">En primera instancia, la solución sobre Apache Cassandra cumplió los requisitos funcionales del caso. El diseño guiado por consultas, con particiones </w:t>
      </w:r>
      <w:r>
        <w:rPr>
          <w:rFonts w:ascii="Courier New" w:cs="Courier New" w:eastAsia="Courier New" w:hAnsi="Courier New"/>
          <w:sz w:val="17"/>
          <w:szCs w:val="17"/>
        </w:rPr>
        <w:t xml:space="preserve">(sensor_​id, bucket)</w:t>
      </w:r>
      <w:r>
        <w:rPr>
          <w:rFonts w:ascii="Times New Roman" w:cs="Times New Roman" w:eastAsia="Times New Roman" w:hAnsi="Times New Roman"/>
          <w:sz w:val="20"/>
          <w:szCs w:val="20"/>
        </w:rPr>
        <w:t xml:space="preserve"> y </w:t>
      </w:r>
      <w:r>
        <w:rPr>
          <w:rFonts w:ascii="Courier New" w:cs="Courier New" w:eastAsia="Courier New" w:hAnsi="Courier New"/>
          <w:sz w:val="17"/>
          <w:szCs w:val="17"/>
        </w:rPr>
        <w:t xml:space="preserve">(zona, bucket)</w:t>
      </w:r>
      <w:r>
        <w:rPr>
          <w:rFonts w:ascii="Times New Roman" w:cs="Times New Roman" w:eastAsia="Times New Roman" w:hAnsi="Times New Roman"/>
          <w:sz w:val="20"/>
          <w:szCs w:val="20"/>
        </w:rPr>
        <w:t xml:space="preserve">, resolvió las consultas por sensor, zona y rango temporal con la clave de partición completa y sin </w:t>
      </w:r>
      <w:r>
        <w:rPr>
          <w:rFonts w:ascii="Courier New" w:cs="Courier New" w:eastAsia="Courier New" w:hAnsi="Courier New"/>
          <w:sz w:val="17"/>
          <w:szCs w:val="17"/>
        </w:rPr>
        <w:t xml:space="preserve">ALLOW FILTERING</w:t>
      </w:r>
      <w:r>
        <w:rPr>
          <w:rFonts w:ascii="Times New Roman" w:cs="Times New Roman" w:eastAsia="Times New Roman" w:hAnsi="Times New Roman"/>
          <w:sz w:val="20"/>
          <w:szCs w:val="20"/>
        </w:rPr>
        <w:t xml:space="preserve">. Las consultas de hasta 96 filas respondieron con mediana de 2.3 a 5.0 ms, y la de zona y día (4 579 filas) con 38 a 47 ms. El bucketing diario mantuvo las particiones pequeñas (máximo de 379 022 bytes por zona-día y 6 866 bytes por sensor-día), y la carga de 1 000 000 de mediciones tomó 127.8 s (7 824 filas/s). Pasaron las 12 pruebas funcionales y la prueba de estrés no produjo errores.</w:t>
      </w:r>
    </w:p>
    <w:p>
      <w:pPr>
        <w:spacing w:after="0" w:line="240"/>
        <w:ind w:firstLine="288"/>
        <w:jc w:val="both"/>
      </w:pPr>
      <w:r>
        <w:rPr>
          <w:rFonts w:ascii="Times New Roman" w:cs="Times New Roman" w:eastAsia="Times New Roman" w:hAnsi="Times New Roman"/>
          <w:sz w:val="20"/>
          <w:szCs w:val="20"/>
        </w:rPr>
        <w:t xml:space="preserve">Además, la consulta por área fue la debilidad, y el costo del diseño es la desnormalización: cada lectura se registra en diferentes tablas y no se evaluó su impacto en la escritura; tampoco se realizó una comparación entre </w:t>
      </w:r>
      <w:r>
        <w:rPr>
          <w:rFonts w:ascii="Courier New" w:cs="Courier New" w:eastAsia="Courier New" w:hAnsi="Courier New"/>
          <w:sz w:val="17"/>
          <w:szCs w:val="17"/>
        </w:rPr>
        <w:t xml:space="preserve">TimeWindowCompactionStrategy</w:t>
      </w:r>
      <w:r>
        <w:rPr>
          <w:rFonts w:ascii="Times New Roman" w:cs="Times New Roman" w:eastAsia="Times New Roman" w:hAnsi="Times New Roman"/>
          <w:sz w:val="20"/>
          <w:szCs w:val="20"/>
        </w:rPr>
        <w:t xml:space="preserve"> y otras estrategias.</w:t>
      </w:r>
    </w:p>
    <w:p>
      <w:pPr>
        <w:spacing w:after="0" w:line="240"/>
        <w:ind w:firstLine="288"/>
        <w:jc w:val="both"/>
      </w:pPr>
      <w:r>
        <w:rPr>
          <w:rFonts w:ascii="Times New Roman" w:cs="Times New Roman" w:eastAsia="Times New Roman" w:hAnsi="Times New Roman"/>
          <w:sz w:val="20"/>
          <w:szCs w:val="20"/>
        </w:rPr>
        <w:t xml:space="preserve">A modo de cierre, los hallazgos están restringidos a un nodo con RF=1, información sintética y anomalías señaladas por el generador (Sección VII). Se recomienda para trabajos futuros contemplar un clúster de tres nodos con RF=3, un histórico de meses, un bucket horario para la tabla por región, la identificación de anomalías en la ingesta y una API de consultas.</w:t>
      </w:r>
    </w:p>
    <w:p>
      <w:pPr>
        <w:pStyle w:val="Heading1"/>
      </w:pPr>
      <w:r>
        <w:rPr>
          <w:rFonts w:ascii="Times New Roman" w:cs="Times New Roman" w:eastAsia="Times New Roman" w:hAnsi="Times New Roman"/>
        </w:rPr>
        <w:t xml:space="preserve">IX. Enlace al Repositorio</w:t>
      </w:r>
    </w:p>
    <w:p>
      <w:pPr>
        <w:spacing w:after="0" w:line="240"/>
        <w:ind w:firstLine="288"/>
        <w:jc w:val="both"/>
      </w:pPr>
      <w:r>
        <w:rPr>
          <w:rFonts w:ascii="Times New Roman" w:cs="Times New Roman" w:eastAsia="Times New Roman" w:hAnsi="Times New Roman"/>
          <w:sz w:val="20"/>
          <w:szCs w:val="20"/>
        </w:rPr>
        <w:t xml:space="preserve">El código fuente del proyecto está disponible en: </w:t>
      </w:r>
      <w:r>
        <w:rPr>
          <w:rFonts w:ascii="Courier New" w:cs="Courier New" w:eastAsia="Courier New" w:hAnsi="Courier New"/>
          <w:sz w:val="17"/>
          <w:szCs w:val="17"/>
        </w:rPr>
        <w:t xml:space="preserve">https:/​/​github.com/​sandykrs/​AquaSense-Cassandra-Grupo5</w:t>
      </w:r>
    </w:p>
    <w:p>
      <w:pPr>
        <w:pStyle w:val="Heading1"/>
      </w:pPr>
      <w:r>
        <w:rPr>
          <w:rFonts w:ascii="Times New Roman" w:cs="Times New Roman" w:eastAsia="Times New Roman" w:hAnsi="Times New Roman"/>
        </w:rPr>
        <w:t xml:space="preserve">Referencias</w:t>
      </w:r>
    </w:p>
    <w:p>
      <w:pPr>
        <w:tabs>
          <w:tab w:val="left" w:pos="360"/>
        </w:tabs>
        <w:spacing w:after="40" w:line="2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H. A. Herrera y C. Rueda Valenzuela, “NoSQL, la nueva tendencia en el manejo de datos”, </w:t>
      </w:r>
      <w:r>
        <w:rPr>
          <w:rFonts w:ascii="Times New Roman" w:cs="Times New Roman" w:eastAsia="Times New Roman" w:hAnsi="Times New Roman"/>
          <w:i/>
          <w:iCs/>
          <w:sz w:val="16"/>
          <w:szCs w:val="16"/>
        </w:rPr>
        <w:t xml:space="preserve">Tecnol. Investig. Academia TIA</w:t>
      </w:r>
      <w:r>
        <w:rPr>
          <w:rFonts w:ascii="Times New Roman" w:cs="Times New Roman" w:eastAsia="Times New Roman" w:hAnsi="Times New Roman"/>
          <w:sz w:val="16"/>
          <w:szCs w:val="16"/>
        </w:rPr>
        <w:t xml:space="preserve">, vol. 4, n.º 1, pp. 147–150, may. 2016.</w:t>
      </w:r>
    </w:p>
    <w:p>
      <w:pPr>
        <w:tabs>
          <w:tab w:val="left" w:pos="360"/>
        </w:tabs>
        <w:spacing w:after="40" w:line="2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Á. H. Santamaría Masapuncho y M. M. Bayas Altamirano, “Monitoreo y evaluación de parámetros de calidad de agua obtenidos por la Internet de las cosas (IoT) para la planta de tratamiento de agua potable El Carrizal, perteneciente a la parroquia San Miguel, del Cantón Salcedo, provincia de Cotopaxi”, </w:t>
      </w:r>
      <w:r>
        <w:rPr>
          <w:rFonts w:ascii="Times New Roman" w:cs="Times New Roman" w:eastAsia="Times New Roman" w:hAnsi="Times New Roman"/>
          <w:i/>
          <w:iCs/>
          <w:sz w:val="16"/>
          <w:szCs w:val="16"/>
        </w:rPr>
        <w:t xml:space="preserve">Rev. InGlobal</w:t>
      </w:r>
      <w:r>
        <w:rPr>
          <w:rFonts w:ascii="Times New Roman" w:cs="Times New Roman" w:eastAsia="Times New Roman" w:hAnsi="Times New Roman"/>
          <w:sz w:val="16"/>
          <w:szCs w:val="16"/>
        </w:rPr>
        <w:t xml:space="preserve">, vol. 4, n.º 2, pp. 280–300, nov. 2025, doi: 10.62943/rig.v4n2.2025.380.</w:t>
      </w:r>
    </w:p>
    <w:p>
      <w:pPr>
        <w:tabs>
          <w:tab w:val="left" w:pos="360"/>
        </w:tabs>
        <w:spacing w:after="40" w:line="2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J. Llanos Fariña, “Implementación de un sistema de almacenamiento de datos masivos para monitoreo estructural”, Memoria de título, Dept. Ing. Informática, Univ. de Concepción, Concepción, Chile, 2018.</w:t>
      </w:r>
    </w:p>
    <w:p>
      <w:pPr>
        <w:tabs>
          <w:tab w:val="left" w:pos="360"/>
        </w:tabs>
        <w:spacing w:after="40" w:line="2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 Barata and J. Bernardino, “Cassandra’s performance and scalability evaluation,” in </w:t>
      </w:r>
      <w:r>
        <w:rPr>
          <w:rFonts w:ascii="Times New Roman" w:cs="Times New Roman" w:eastAsia="Times New Roman" w:hAnsi="Times New Roman"/>
          <w:i/>
          <w:iCs/>
          <w:sz w:val="16"/>
          <w:szCs w:val="16"/>
        </w:rPr>
        <w:t xml:space="preserve">Proc. 5th Int. Conf. Data Management Technologies and Applications (DATA)</w:t>
      </w:r>
      <w:r>
        <w:rPr>
          <w:rFonts w:ascii="Times New Roman" w:cs="Times New Roman" w:eastAsia="Times New Roman" w:hAnsi="Times New Roman"/>
          <w:sz w:val="16"/>
          <w:szCs w:val="16"/>
        </w:rPr>
        <w:t xml:space="preserve">, 2016, pp. 127–134, doi: 10.5220/0005980101270134.</w:t>
      </w:r>
    </w:p>
    <w:p>
      <w:pPr>
        <w:tabs>
          <w:tab w:val="left" w:pos="360"/>
        </w:tabs>
        <w:spacing w:after="40" w:line="2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A. Gorbenko, A. Romanovsky, and O. Tarasyuk, “Interplaying Cassandra NoSQL consistency and performance: A benchmarking approach,” in </w:t>
      </w:r>
      <w:r>
        <w:rPr>
          <w:rFonts w:ascii="Times New Roman" w:cs="Times New Roman" w:eastAsia="Times New Roman" w:hAnsi="Times New Roman"/>
          <w:i/>
          <w:iCs/>
          <w:sz w:val="16"/>
          <w:szCs w:val="16"/>
        </w:rPr>
        <w:t xml:space="preserve">Dependable Computing – EDCC 2020 Workshops</w:t>
      </w:r>
      <w:r>
        <w:rPr>
          <w:rFonts w:ascii="Times New Roman" w:cs="Times New Roman" w:eastAsia="Times New Roman" w:hAnsi="Times New Roman"/>
          <w:sz w:val="16"/>
          <w:szCs w:val="16"/>
        </w:rPr>
        <w:t xml:space="preserve"> (Communications in Computer and Information Science, vol. 1279), 2020, pp. 168–184, doi: 10.1007/978-3-030-58462-7_14.</w:t>
      </w:r>
    </w:p>
    <w:sectPr>
      <w:type w:val="continuous"/>
      <w:pgSz w:w="12240" w:h="15840" w:orient="portrait"/>
      <w:pgMar w:top="108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6"/>
      </w:pPr>
    </w:lvl>
  </w:abstractNum>
  <w:abstractNum w:abstractNumId="3" w15:restartNumberingAfterBreak="0">
    <w:multiLevelType w:val="hybridMultilevel"/>
    <w:lvl w:ilvl="0" w15:tentative="1">
      <w:start w:val="1"/>
      <w:numFmt w:val="decimal"/>
      <w:lvlText w:val="%1)"/>
      <w:lvlJc w:val="left"/>
      <w:pPr>
        <w:ind w:left="360" w:hanging="288"/>
      </w:pPr>
    </w:lvl>
  </w:abstractNum>
  <w:abstractNum w:abstractNumId="4" w15:restartNumberingAfterBreak="0">
    <w:multiLevelType w:val="hybridMultilevel"/>
    <w:lvl w:ilvl="0" w15:tentative="1">
      <w:start w:val="1"/>
      <w:numFmt w:val="decimal"/>
      <w:lvlText w:val="%1)"/>
      <w:lvlJc w:val="left"/>
      <w:pPr>
        <w:ind w:left="3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lang w:val="es-C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after="40" w:before="120"/>
      <w:jc w:val="left"/>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Monitoreo de Redes de Agua Potable usando Apache Cassandra</dc:title>
  <dc:creator>Grupo 5</dc:creator>
  <cp:lastModifiedBy>Un-named</cp:lastModifiedBy>
  <cp:revision>1</cp:revision>
  <dcterms:created xsi:type="dcterms:W3CDTF">2026-10-12T03:03:52.535Z</dcterms:created>
  <dcterms:modified xsi:type="dcterms:W3CDTF">2026-10-12T03:03:52.536Z</dcterms:modified>
</cp:coreProperties>
</file>

<file path=docProps/custom.xml><?xml version="1.0" encoding="utf-8"?>
<Properties xmlns="http://schemas.openxmlformats.org/officeDocument/2006/custom-properties" xmlns:vt="http://schemas.openxmlformats.org/officeDocument/2006/docPropsVTypes"/>
</file>