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Salient: Enterprise Selling for STEM Founders</w:t>
      </w:r>
    </w:p>
    <w:p>
      <w:pPr>
        <w:pStyle w:val="Subtitle"/>
      </w:pPr>
      <w:r>
        <w:t xml:space="preserve">What they don’t teach you when you leave the lab</w:t>
      </w:r>
    </w:p>
    <w:p>
      <w:pPr>
        <w:pStyle w:val="Author"/>
      </w:pPr>
      <w:r>
        <w:t xml:space="preserve">Sandy McKinnon with Claude</w:t>
      </w:r>
    </w:p>
    <w:p>
      <w:pPr>
        <w:pStyle w:val="Date"/>
      </w:pPr>
      <w:r>
        <w:t xml:space="preserve">2026</w:t>
      </w:r>
    </w:p>
    <w:bookmarkStart w:id="57" w:name="X2383f8ba058478e83fcb405014f5d872a127f89"/>
    <w:p>
      <w:pPr>
        <w:pStyle w:val="Heading1"/>
      </w:pPr>
      <w:r>
        <w:t xml:space="preserve">Salient: Enterprise Selling for STEM Founders</w:t>
      </w:r>
    </w:p>
    <w:p>
      <w:pPr>
        <w:pStyle w:val="FirstParagraph"/>
      </w:pPr>
      <w:r>
        <w:rPr>
          <w:i/>
          <w:iCs/>
        </w:rPr>
        <w:t xml:space="preserve">What they don’t teach you when you leave the lab</w:t>
      </w:r>
    </w:p>
    <w:p>
      <w:pPr>
        <w:pStyle w:val="BodyText"/>
      </w:pPr>
      <w:r>
        <w:rPr>
          <w:b/>
          <w:bCs/>
        </w:rPr>
        <w:t xml:space="preserve">Sandy McKinnon with Claude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introduction">
        <w:r>
          <w:rPr>
            <w:rStyle w:val="Hyperlink"/>
          </w:rPr>
          <w:t xml:space="preserve">Introduction — The Commercial Translation Problem</w:t>
        </w:r>
      </w:hyperlink>
    </w:p>
    <w:p>
      <w:pPr>
        <w:pStyle w:val="Compact"/>
        <w:numPr>
          <w:ilvl w:val="0"/>
          <w:numId w:val="1001"/>
        </w:numPr>
      </w:pPr>
      <w:hyperlink w:anchor="chapter-1">
        <w:r>
          <w:rPr>
            <w:rStyle w:val="Hyperlink"/>
          </w:rPr>
          <w:t xml:space="preserve">Chapter 1 — So You Think You Have a Product</w:t>
        </w:r>
      </w:hyperlink>
    </w:p>
    <w:p>
      <w:pPr>
        <w:pStyle w:val="Compact"/>
        <w:numPr>
          <w:ilvl w:val="0"/>
          <w:numId w:val="1001"/>
        </w:numPr>
      </w:pPr>
      <w:hyperlink w:anchor="chapter-2">
        <w:r>
          <w:rPr>
            <w:rStyle w:val="Hyperlink"/>
          </w:rPr>
          <w:t xml:space="preserve">Chapter 2 — Getting Into the Room</w:t>
        </w:r>
      </w:hyperlink>
    </w:p>
    <w:p>
      <w:pPr>
        <w:pStyle w:val="Compact"/>
        <w:numPr>
          <w:ilvl w:val="0"/>
          <w:numId w:val="1001"/>
        </w:numPr>
      </w:pPr>
      <w:hyperlink w:anchor="chapter-3">
        <w:r>
          <w:rPr>
            <w:rStyle w:val="Hyperlink"/>
          </w:rPr>
          <w:t xml:space="preserve">Chapter 3 — The Expansion Imperative</w:t>
        </w:r>
      </w:hyperlink>
    </w:p>
    <w:p>
      <w:pPr>
        <w:pStyle w:val="Compact"/>
        <w:numPr>
          <w:ilvl w:val="0"/>
          <w:numId w:val="1001"/>
        </w:numPr>
      </w:pPr>
      <w:hyperlink w:anchor="chapter-4">
        <w:r>
          <w:rPr>
            <w:rStyle w:val="Hyperlink"/>
          </w:rPr>
          <w:t xml:space="preserve">Chapter 4 — The Qualification Checklist</w:t>
        </w:r>
      </w:hyperlink>
    </w:p>
    <w:p>
      <w:pPr>
        <w:pStyle w:val="Compact"/>
        <w:numPr>
          <w:ilvl w:val="0"/>
          <w:numId w:val="1001"/>
        </w:numPr>
      </w:pPr>
      <w:hyperlink w:anchor="chapter-5">
        <w:r>
          <w:rPr>
            <w:rStyle w:val="Hyperlink"/>
          </w:rPr>
          <w:t xml:space="preserve">Chapter 5 — The Late Game</w:t>
        </w:r>
      </w:hyperlink>
    </w:p>
    <w:p>
      <w:pPr>
        <w:pStyle w:val="Compact"/>
        <w:numPr>
          <w:ilvl w:val="0"/>
          <w:numId w:val="1001"/>
        </w:numPr>
      </w:pPr>
      <w:hyperlink w:anchor="appendix">
        <w:r>
          <w:rPr>
            <w:rStyle w:val="Hyperlink"/>
          </w:rPr>
          <w:t xml:space="preserve">Appendix — Starter Documents for the Paper Process</w:t>
        </w:r>
      </w:hyperlink>
    </w:p>
    <w:p>
      <w:pPr>
        <w:pStyle w:val="Compact"/>
        <w:numPr>
          <w:ilvl w:val="1"/>
          <w:numId w:val="1002"/>
        </w:numPr>
      </w:pPr>
      <w:hyperlink w:anchor="nda">
        <w:r>
          <w:rPr>
            <w:rStyle w:val="Hyperlink"/>
          </w:rPr>
          <w:t xml:space="preserve">A. Mutual Non-Disclosure Agreement</w:t>
        </w:r>
      </w:hyperlink>
    </w:p>
    <w:p>
      <w:pPr>
        <w:pStyle w:val="Compact"/>
        <w:numPr>
          <w:ilvl w:val="1"/>
          <w:numId w:val="1002"/>
        </w:numPr>
      </w:pPr>
      <w:hyperlink w:anchor="saas-licence">
        <w:r>
          <w:rPr>
            <w:rStyle w:val="Hyperlink"/>
          </w:rPr>
          <w:t xml:space="preserve">B. Software Subscription Licence Agreement</w:t>
        </w:r>
      </w:hyperlink>
    </w:p>
    <w:p>
      <w:pPr>
        <w:pStyle w:val="Compact"/>
        <w:numPr>
          <w:ilvl w:val="1"/>
          <w:numId w:val="1002"/>
        </w:numPr>
      </w:pPr>
      <w:hyperlink w:anchor="pilot-agreement">
        <w:r>
          <w:rPr>
            <w:rStyle w:val="Hyperlink"/>
          </w:rPr>
          <w:t xml:space="preserve">C. Pilot / Proof of Concept Agreement</w:t>
        </w:r>
      </w:hyperlink>
    </w:p>
    <w:p>
      <w:pPr>
        <w:pStyle w:val="Compact"/>
        <w:numPr>
          <w:ilvl w:val="1"/>
          <w:numId w:val="1002"/>
        </w:numPr>
      </w:pPr>
      <w:hyperlink w:anchor="dpa">
        <w:r>
          <w:rPr>
            <w:rStyle w:val="Hyperlink"/>
          </w:rPr>
          <w:t xml:space="preserve">D. Data Processing Agreement</w:t>
        </w:r>
      </w:hyperlink>
    </w:p>
    <w:p>
      <w:pPr>
        <w:pStyle w:val="Compact"/>
        <w:numPr>
          <w:ilvl w:val="1"/>
          <w:numId w:val="1002"/>
        </w:numPr>
      </w:pPr>
      <w:hyperlink w:anchor="commercial-summary">
        <w:r>
          <w:rPr>
            <w:rStyle w:val="Hyperlink"/>
          </w:rPr>
          <w:t xml:space="preserve">E. One-Page Commercial Summary</w:t>
        </w:r>
      </w:hyperlink>
    </w:p>
    <w:p>
      <w:r>
        <w:pict>
          <v:rect style="width:0;height:1.5pt" o:hralign="center" o:hrstd="t" o:hr="t"/>
        </w:pict>
      </w:r>
    </w:p>
    <w:bookmarkEnd w:id="9"/>
    <w:bookmarkStart w:id="10" w:name="introduction"/>
    <w:p>
      <w:pPr>
        <w:pStyle w:val="Heading2"/>
      </w:pPr>
      <w:r>
        <w:t xml:space="preserve">Introduction — The Commercial Translation Problem</w:t>
      </w:r>
    </w:p>
    <w:p>
      <w:pPr>
        <w:pStyle w:val="FirstParagraph"/>
      </w:pPr>
      <w:r>
        <w:t xml:space="preserve">You built something that works. It solves a real problem. You can demonstrate it, measure it, and explain it to anyone with a technical background. Then you try to sell it, and nothing happens the way you expected.</w:t>
      </w:r>
    </w:p>
    <w:p>
      <w:pPr>
        <w:pStyle w:val="BodyText"/>
      </w:pPr>
      <w:r>
        <w:t xml:space="preserve">The buyer says they’re interested, then goes quiet. The evaluation drags on for six months. The champion you’ve been working with leaves the company. The committee requests a proposal and then doesn’t respond to it. You get a verbal yes that never turns into a purchase order. You drop the price and close the deal, then wonder why you feel vaguely cheated.</w:t>
      </w:r>
    </w:p>
    <w:p>
      <w:pPr>
        <w:pStyle w:val="BodyText"/>
      </w:pPr>
      <w:r>
        <w:t xml:space="preserve">This is the experience of almost every STEM founder who sells their first enterprise deal. It is not bad luck. It is not that the buyer is irrational. It is not that your product needs one more feature. It is that the commercial translation layer between your capability and their purchasing decision is broken — and you don’t know it because nobody told you it exists.</w:t>
      </w:r>
    </w:p>
    <w:p>
      <w:pPr>
        <w:pStyle w:val="BodyText"/>
      </w:pPr>
      <w:r>
        <w:t xml:space="preserve">Technology works through precision. Sales works through probability management. These are not the same discipline, and the skills that make you excellent at the first do not transfer automatically to the second. They can be learned. But they have to be learned explicitly, because the failure modes are not what you’d expect.</w:t>
      </w:r>
    </w:p>
    <w:p>
      <w:pPr>
        <w:pStyle w:val="BodyText"/>
      </w:pPr>
      <w:r>
        <w:t xml:space="preserve">This book is that translation layer.</w:t>
      </w:r>
    </w:p>
    <w:p>
      <w:pPr>
        <w:pStyle w:val="BodyText"/>
      </w:pPr>
      <w:r>
        <w:t xml:space="preserve">It is structured around the concepts in the Salient learning system — the same framework used in the deal management tool — because the theory and the practice should reinforce each other. Read a chapter, then go and look at your current deal in that light. The framework is only useful if you use it live, not in retrospect.</w:t>
      </w:r>
    </w:p>
    <w:p>
      <w:pPr>
        <w:pStyle w:val="BodyText"/>
      </w:pPr>
      <w:r>
        <w:t xml:space="preserve">A few things this book will not do:</w:t>
      </w:r>
    </w:p>
    <w:p>
      <w:pPr>
        <w:pStyle w:val="BodyText"/>
      </w:pPr>
      <w:r>
        <w:t xml:space="preserve">It will not tell you that selling is about relationships and being yourself. That is true in the way that</w:t>
      </w:r>
      <w:r>
        <w:t xml:space="preserve"> </w:t>
      </w:r>
      <w:r>
        <w:t xml:space="preserve">“breathing is important”</w:t>
      </w:r>
      <w:r>
        <w:t xml:space="preserve"> </w:t>
      </w:r>
      <w:r>
        <w:t xml:space="preserve">is true — it is necessary but not sufficient, and it tells you nothing useful about what to do next Tuesday.</w:t>
      </w:r>
    </w:p>
    <w:p>
      <w:pPr>
        <w:pStyle w:val="BodyText"/>
      </w:pPr>
      <w:r>
        <w:t xml:space="preserve">It will not give you scripts. Scripts fail as soon as the buyer says something unexpected, which they always do. What you need is a mental model sturdy enough to navigate unexpected conversations.</w:t>
      </w:r>
    </w:p>
    <w:p>
      <w:pPr>
        <w:pStyle w:val="BodyText"/>
      </w:pPr>
      <w:r>
        <w:t xml:space="preserve">It will not pretend that losing deals feels okay. It doesn’t, and anyone who tells you it does is either lying or has been selling long enough to have forgotten what it felt like.</w:t>
      </w:r>
    </w:p>
    <w:p>
      <w:pPr>
        <w:pStyle w:val="BodyText"/>
      </w:pPr>
      <w:r>
        <w:t xml:space="preserve">What it will do is explain the mechanics. Why deals move and why they stall. Who actually makes the decision and how. What your price signals about your product. How to run the end of a deal so it doesn’t fall apart in the last three weeks. And how to build the commercial muscle that most STEM founders only develop after three years of expensive, demoralising trial and error.</w:t>
      </w:r>
    </w:p>
    <w:p>
      <w:pPr>
        <w:pStyle w:val="BodyText"/>
      </w:pPr>
      <w:r>
        <w:t xml:space="preserve">Start at Chapter 1. It is about your product. It comes first for a reason.</w:t>
      </w:r>
    </w:p>
    <w:p>
      <w:r>
        <w:pict>
          <v:rect style="width:0;height:1.5pt" o:hralign="center" o:hrstd="t" o:hr="t"/>
        </w:pict>
      </w:r>
    </w:p>
    <w:bookmarkEnd w:id="10"/>
    <w:bookmarkStart w:id="20" w:name="chapter-1"/>
    <w:p>
      <w:pPr>
        <w:pStyle w:val="Heading2"/>
      </w:pPr>
      <w:r>
        <w:t xml:space="preserve">Chapter 1 — So You Think You Have a Product</w:t>
      </w:r>
    </w:p>
    <w:p>
      <w:pPr>
        <w:pStyle w:val="BlockText"/>
      </w:pPr>
      <w:r>
        <w:rPr>
          <w:i/>
          <w:iCs/>
        </w:rPr>
        <w:t xml:space="preserve">“I have not failed ten thousand times. I have successfully found ten thousand ways that will not work.”</w:t>
      </w:r>
    </w:p>
    <w:p>
      <w:pPr>
        <w:pStyle w:val="BlockText"/>
      </w:pPr>
      <w:r>
        <w:t xml:space="preserve">— Thomas Alva Edison</w:t>
      </w:r>
    </w:p>
    <w:tbl>
      <w:tblPr>
        <w:tblStyle w:val="FigureTable"/>
        <w:tblW w:type="auto" w:w="0"/>
        <w:jc w:val="center"/>
        <w:tblLook w:firstRow="0" w:lastRow="0" w:firstColumn="0" w:lastColumn="0"/>
      </w:tblPr>
      <w:tblGrid>
        <w:gridCol w:w="7920"/>
      </w:tblGrid>
      <w:tr>
        <w:tc>
          <w:tcPr/>
          <w:p>
            <w:pPr>
              <w:pStyle w:val="Compact"/>
              <w:jc w:val="center"/>
            </w:pPr>
            <w:r>
              <w:t xml:space="preserve">Figure 1.1: Edison in his Menlo Park laboratory</w:t>
            </w:r>
          </w:p>
        </w:tc>
      </w:tr>
    </w:tbl>
    <w:p>
      <w:pPr>
        <w:pStyle w:val="ImageCaption"/>
      </w:pPr>
      <w:r>
        <w:t xml:space="preserve">Figure 1.1: Edison in his Menlo Park laboratory</w:t>
      </w:r>
    </w:p>
    <w:p>
      <w:pPr>
        <w:pStyle w:val="BodyText"/>
      </w:pPr>
      <w:r>
        <w:rPr>
          <w:i/>
          <w:iCs/>
        </w:rPr>
        <w:t xml:space="preserve">Edison at Menlo Park, surrounded by the accumulated evidence of iteration. The lightbulb visible on his workbench is not the invention — it is the output. The invention was the system that made it useful.</w:t>
      </w:r>
    </w:p>
    <w:p>
      <w:r>
        <w:pict>
          <v:rect style="width:0;height:1.5pt" o:hralign="center" o:hrstd="t" o:hr="t"/>
        </w:pict>
      </w:r>
    </w:p>
    <w:bookmarkStart w:id="11" w:name="the-edison-problem"/>
    <w:p>
      <w:pPr>
        <w:pStyle w:val="Heading3"/>
      </w:pPr>
      <w:r>
        <w:t xml:space="preserve">The Edison Problem</w:t>
      </w:r>
    </w:p>
    <w:p>
      <w:pPr>
        <w:pStyle w:val="FirstParagraph"/>
      </w:pPr>
      <w:r>
        <w:t xml:space="preserve">Thomas Edison did not invent the lightbulb. Several people had working incandescent lamps before his version. What Edison invented was the commercial electricity system: the generators, the distribution infrastructure, the metering, the wiring standards — and crucially, the business case. His target customer understood their gas bill. Edison’s pitch, in essence, was: this will replace that, and here is the cost per unit of light delivered.</w:t>
      </w:r>
    </w:p>
    <w:p>
      <w:pPr>
        <w:pStyle w:val="BodyText"/>
      </w:pPr>
      <w:r>
        <w:t xml:space="preserve">The lightbulb without the generator is a curiosity. The generator without customers who understand that they are buying cheaper light, not buying a machine — that is also a curiosity. The product was the whole system, and the product’s value proposition was legible to the economic buyer in terms they already used.</w:t>
      </w:r>
    </w:p>
    <w:p>
      <w:pPr>
        <w:pStyle w:val="BodyText"/>
      </w:pPr>
      <w:r>
        <w:t xml:space="preserve">Most STEM founders build the lightbulb. Then they try to sell it to buyers who don’t yet have gas bills — or don’t know what their gas bill is — or whose gas bill is approved by someone they’ve never met, in a budget cycle that runs on fiscal calendars the founder hasn’t asked about.</w:t>
      </w:r>
    </w:p>
    <w:p>
      <w:pPr>
        <w:pStyle w:val="BodyText"/>
      </w:pPr>
      <w:r>
        <w:t xml:space="preserve">Working is not the same as sellable. This chapter is about the gap between them.</w:t>
      </w:r>
    </w:p>
    <w:p>
      <w:r>
        <w:pict>
          <v:rect style="width:0;height:1.5pt" o:hralign="center" o:hrstd="t" o:hr="t"/>
        </w:pict>
      </w:r>
    </w:p>
    <w:bookmarkEnd w:id="11"/>
    <w:bookmarkStart w:id="12" w:name="what-a-product-actually-is"/>
    <w:p>
      <w:pPr>
        <w:pStyle w:val="Heading3"/>
      </w:pPr>
      <w:r>
        <w:t xml:space="preserve">What a Product Actually Is</w:t>
      </w:r>
    </w:p>
    <w:p>
      <w:pPr>
        <w:pStyle w:val="FirstParagraph"/>
      </w:pPr>
      <w:r>
        <w:t xml:space="preserve">A product is not a capability. A capability is what your technology can do. A product is the intersection of four things:</w:t>
      </w:r>
    </w:p>
    <w:p>
      <w:pPr>
        <w:pStyle w:val="Compact"/>
        <w:numPr>
          <w:ilvl w:val="0"/>
          <w:numId w:val="1003"/>
        </w:numPr>
      </w:pPr>
      <w:r>
        <w:rPr>
          <w:b/>
          <w:bCs/>
        </w:rPr>
        <w:t xml:space="preserve">A capability</w:t>
      </w:r>
      <w:r>
        <w:t xml:space="preserve"> </w:t>
      </w:r>
      <w:r>
        <w:t xml:space="preserve">— what it does</w:t>
      </w:r>
    </w:p>
    <w:p>
      <w:pPr>
        <w:pStyle w:val="Compact"/>
        <w:numPr>
          <w:ilvl w:val="0"/>
          <w:numId w:val="1003"/>
        </w:numPr>
      </w:pPr>
      <w:r>
        <w:rPr>
          <w:b/>
          <w:bCs/>
        </w:rPr>
        <w:t xml:space="preserve">A specific buyer type</w:t>
      </w:r>
      <w:r>
        <w:t xml:space="preserve"> </w:t>
      </w:r>
      <w:r>
        <w:t xml:space="preserve">— who experiences the problem it solves</w:t>
      </w:r>
    </w:p>
    <w:p>
      <w:pPr>
        <w:pStyle w:val="Compact"/>
        <w:numPr>
          <w:ilvl w:val="0"/>
          <w:numId w:val="1003"/>
        </w:numPr>
      </w:pPr>
      <w:r>
        <w:rPr>
          <w:b/>
          <w:bCs/>
        </w:rPr>
        <w:t xml:space="preserve">A quantified problem</w:t>
      </w:r>
      <w:r>
        <w:t xml:space="preserve"> </w:t>
      </w:r>
      <w:r>
        <w:t xml:space="preserve">— how large the cost is if the problem goes unsolved</w:t>
      </w:r>
    </w:p>
    <w:p>
      <w:pPr>
        <w:pStyle w:val="Compact"/>
        <w:numPr>
          <w:ilvl w:val="0"/>
          <w:numId w:val="1003"/>
        </w:numPr>
      </w:pPr>
      <w:r>
        <w:rPr>
          <w:b/>
          <w:bCs/>
        </w:rPr>
        <w:t xml:space="preserve">An urgency trigger</w:t>
      </w:r>
      <w:r>
        <w:t xml:space="preserve"> </w:t>
      </w:r>
      <w:r>
        <w:t xml:space="preserve">— the condition that makes this person buy now rather than later</w:t>
      </w:r>
    </w:p>
    <w:p>
      <w:pPr>
        <w:pStyle w:val="FirstParagraph"/>
      </w:pPr>
      <w:r>
        <w:t xml:space="preserve">If you are missing any of these, you do not have a product. You have the components of a product that haven’t been assembled yet.</w:t>
      </w:r>
    </w:p>
    <w:p>
      <w:pPr>
        <w:pStyle w:val="BodyText"/>
      </w:pPr>
      <w:r>
        <w:t xml:space="preserve">This is not an abstract distinction. It determines whether your first conversation with a prospect has a natural direction or meanders politely to a close. It determines whether you can write a compelling email to someone you’ve never met, or whether every cold outreach sounds generic and vague. It determines whether your champion can explain your product to their EB without your help, or whether they need you in the room — which is a fragile position.</w:t>
      </w:r>
    </w:p>
    <w:p>
      <w:pPr>
        <w:pStyle w:val="BodyText"/>
      </w:pPr>
      <w:r>
        <w:t xml:space="preserve">The capability you can describe in ten minutes to anyone in your field. The product takes you a year of selling to articulate properly. The work of this chapter is to shortcut that year.</w:t>
      </w:r>
    </w:p>
    <w:p>
      <w:r>
        <w:pict>
          <v:rect style="width:0;height:1.5pt" o:hralign="center" o:hrstd="t" o:hr="t"/>
        </w:pict>
      </w:r>
    </w:p>
    <w:bookmarkEnd w:id="12"/>
    <w:bookmarkStart w:id="13" w:name="quantifying-your-value"/>
    <w:p>
      <w:pPr>
        <w:pStyle w:val="Heading3"/>
      </w:pPr>
      <w:r>
        <w:t xml:space="preserve">Quantifying Your Value</w:t>
      </w:r>
    </w:p>
    <w:p>
      <w:pPr>
        <w:pStyle w:val="FirstParagraph"/>
      </w:pPr>
      <w:r>
        <w:t xml:space="preserve">The single most common failure mode for STEM founders is pitching the capability and skipping the value.</w:t>
      </w:r>
      <w:r>
        <w:t xml:space="preserve"> </w:t>
      </w:r>
      <w:r>
        <w:t xml:space="preserve">“Our system processes 10 million records per second with 99.97% accuracy”</w:t>
      </w:r>
      <w:r>
        <w:t xml:space="preserve"> </w:t>
      </w:r>
      <w:r>
        <w:t xml:space="preserve">is a capability statement. Nobody buys accuracy. They buy what accuracy gives them.</w:t>
      </w:r>
    </w:p>
    <w:p>
      <w:pPr>
        <w:pStyle w:val="BodyText"/>
      </w:pPr>
      <w:r>
        <w:t xml:space="preserve">The value equation has four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 type</w:t>
            </w:r>
          </w:p>
        </w:tc>
        <w:tc>
          <w:tcPr/>
          <w:p>
            <w:pPr>
              <w:pStyle w:val="Compact"/>
            </w:pPr>
            <w:r>
              <w:t xml:space="preserve">The question it answers</w:t>
            </w:r>
          </w:p>
        </w:tc>
        <w:tc>
          <w:tcPr/>
          <w:p>
            <w:pPr>
              <w:pStyle w:val="Compact"/>
            </w:pPr>
            <w:r>
              <w:t xml:space="preserve">Example</w:t>
            </w:r>
          </w:p>
        </w:tc>
      </w:tr>
      <w:tr>
        <w:tc>
          <w:tcPr/>
          <w:p>
            <w:pPr>
              <w:pStyle w:val="Compact"/>
            </w:pPr>
            <w:r>
              <w:rPr>
                <w:b/>
                <w:bCs/>
              </w:rPr>
              <w:t xml:space="preserve">Cost reduction</w:t>
            </w:r>
          </w:p>
        </w:tc>
        <w:tc>
          <w:tcPr/>
          <w:p>
            <w:pPr>
              <w:pStyle w:val="Compact"/>
            </w:pPr>
            <w:r>
              <w:t xml:space="preserve">What do they currently pay to do this?</w:t>
            </w:r>
          </w:p>
        </w:tc>
        <w:tc>
          <w:tcPr/>
          <w:p>
            <w:pPr>
              <w:pStyle w:val="Compact"/>
            </w:pPr>
            <w:r>
              <w:t xml:space="preserve">£400k per year in analyst time</w:t>
            </w:r>
          </w:p>
        </w:tc>
      </w:tr>
      <w:tr>
        <w:tc>
          <w:tcPr/>
          <w:p>
            <w:pPr>
              <w:pStyle w:val="Compact"/>
            </w:pPr>
            <w:r>
              <w:rPr>
                <w:b/>
                <w:bCs/>
              </w:rPr>
              <w:t xml:space="preserve">Revenue impact</w:t>
            </w:r>
          </w:p>
        </w:tc>
        <w:tc>
          <w:tcPr/>
          <w:p>
            <w:pPr>
              <w:pStyle w:val="Compact"/>
            </w:pPr>
            <w:r>
              <w:t xml:space="preserve">What revenue does this enable or protect?</w:t>
            </w:r>
          </w:p>
        </w:tc>
        <w:tc>
          <w:tcPr/>
          <w:p>
            <w:pPr>
              <w:pStyle w:val="Compact"/>
            </w:pPr>
            <w:r>
              <w:t xml:space="preserve">3% improvement in conversion = £2.1M</w:t>
            </w:r>
          </w:p>
        </w:tc>
      </w:tr>
      <w:tr>
        <w:tc>
          <w:tcPr/>
          <w:p>
            <w:pPr>
              <w:pStyle w:val="Compact"/>
            </w:pPr>
            <w:r>
              <w:rPr>
                <w:b/>
                <w:bCs/>
              </w:rPr>
              <w:t xml:space="preserve">Risk reduction</w:t>
            </w:r>
          </w:p>
        </w:tc>
        <w:tc>
          <w:tcPr/>
          <w:p>
            <w:pPr>
              <w:pStyle w:val="Compact"/>
            </w:pPr>
            <w:r>
              <w:t xml:space="preserve">What is the cost of the bad outcome this prevents?</w:t>
            </w:r>
          </w:p>
        </w:tc>
        <w:tc>
          <w:tcPr/>
          <w:p>
            <w:pPr>
              <w:pStyle w:val="Compact"/>
            </w:pPr>
            <w:r>
              <w:t xml:space="preserve">One compliance breach = £1.5M fine</w:t>
            </w:r>
          </w:p>
        </w:tc>
      </w:tr>
      <w:tr>
        <w:tc>
          <w:tcPr/>
          <w:p>
            <w:pPr>
              <w:pStyle w:val="Compact"/>
            </w:pPr>
            <w:r>
              <w:rPr>
                <w:b/>
                <w:bCs/>
              </w:rPr>
              <w:t xml:space="preserve">Time to value</w:t>
            </w:r>
          </w:p>
        </w:tc>
        <w:tc>
          <w:tcPr/>
          <w:p>
            <w:pPr>
              <w:pStyle w:val="Compact"/>
            </w:pPr>
            <w:r>
              <w:t xml:space="preserve">How much faster does this deliver an outcome?</w:t>
            </w:r>
          </w:p>
        </w:tc>
        <w:tc>
          <w:tcPr/>
          <w:p>
            <w:pPr>
              <w:pStyle w:val="Compact"/>
            </w:pPr>
            <w:r>
              <w:t xml:space="preserve">From 6 weeks to 3 days per project</w:t>
            </w:r>
          </w:p>
        </w:tc>
      </w:tr>
    </w:tbl>
    <w:p>
      <w:pPr>
        <w:pStyle w:val="BodyText"/>
      </w:pPr>
      <w:r>
        <w:t xml:space="preserve">You need at least one of these to be quantified — not estimated, not directional, but a number the buyer can put in a spreadsheet. Ideally you get to more than one. The number does not need to be exact. It needs to be defensible and specific enough that it is harder to argue against than to accept.</w:t>
      </w:r>
    </w:p>
    <w:p>
      <w:pPr>
        <w:pStyle w:val="BodyText"/>
      </w:pPr>
      <w:r>
        <w:t xml:space="preserve">The instinct of STEM founders is to be precise about technical claims and vague about commercial claims. This is the opposite of what the buyer needs. They will never check your uptime SLA themselves. They will immediately stress-test the business case.</w:t>
      </w:r>
    </w:p>
    <w:p>
      <w:pPr>
        <w:pStyle w:val="BodyText"/>
      </w:pPr>
      <w:r>
        <w:t xml:space="preserve">Here is the practical exercise. Take the problem your product solves and ask: if a company had this problem and did not fix it for one year, what would it cost them? Now ask: what type of person at that company is held accountable for that cost? That person is your buyer. What they feel about that cost — the anxiety, the frustration, the quarterly review conversation — is the emotional signal you are selling to.</w:t>
      </w:r>
    </w:p>
    <w:p>
      <w:pPr>
        <w:pStyle w:val="BlockText"/>
      </w:pPr>
      <w:r>
        <w:rPr>
          <w:b/>
          <w:bCs/>
        </w:rPr>
        <w:t xml:space="preserve">Note:</w:t>
      </w:r>
      <w:r>
        <w:t xml:space="preserve"> </w:t>
      </w:r>
      <w:r>
        <w:t xml:space="preserve">The number you use in the business case does not need to come from your own analysis. It is better to get it from the customer. Ask them:</w:t>
      </w:r>
      <w:r>
        <w:t xml:space="preserve"> </w:t>
      </w:r>
      <w:r>
        <w:t xml:space="preserve">“What’s the current cost of dealing with this?”</w:t>
      </w:r>
      <w:r>
        <w:t xml:space="preserve"> </w:t>
      </w:r>
      <w:r>
        <w:t xml:space="preserve">They will almost always have a number. That number, coming from them, is more credible in their internal approval process than any number you could offer.</w:t>
      </w:r>
    </w:p>
    <w:p>
      <w:r>
        <w:pict>
          <v:rect style="width:0;height:1.5pt" o:hralign="center" o:hrstd="t" o:hr="t"/>
        </w:pict>
      </w:r>
    </w:p>
    <w:bookmarkEnd w:id="13"/>
    <w:bookmarkStart w:id="14" w:name="defining-your-ideal-customer-profile"/>
    <w:p>
      <w:pPr>
        <w:pStyle w:val="Heading3"/>
      </w:pPr>
      <w:r>
        <w:t xml:space="preserve">Defining Your Ideal Customer Profile</w:t>
      </w:r>
    </w:p>
    <w:p>
      <w:pPr>
        <w:pStyle w:val="FirstParagraph"/>
      </w:pPr>
      <w:r>
        <w:t xml:space="preserve">An ICP is not a market segment.</w:t>
      </w:r>
      <w:r>
        <w:t xml:space="preserve"> </w:t>
      </w:r>
      <w:r>
        <w:t xml:space="preserve">“Financial services firms with over 500 employees”</w:t>
      </w:r>
      <w:r>
        <w:t xml:space="preserve"> </w:t>
      </w:r>
      <w:r>
        <w:t xml:space="preserve">is a market segment. Your ICP is a specific type of person, in a specific type of company, at a specific moment when they are likely to buy.</w:t>
      </w:r>
    </w:p>
    <w:p>
      <w:pPr>
        <w:pStyle w:val="BodyText"/>
      </w:pPr>
      <w:r>
        <w:t xml:space="preserve">The moment is the critical part that founders miss.</w:t>
      </w:r>
    </w:p>
    <w:p>
      <w:pPr>
        <w:pStyle w:val="BodyText"/>
      </w:pPr>
      <w:r>
        <w:t xml:space="preserve">An ICP has four layers:</w:t>
      </w:r>
    </w:p>
    <w:p>
      <w:pPr>
        <w:pStyle w:val="Compact"/>
        <w:numPr>
          <w:ilvl w:val="0"/>
          <w:numId w:val="1004"/>
        </w:numPr>
      </w:pPr>
      <w:r>
        <w:rPr>
          <w:b/>
          <w:bCs/>
        </w:rPr>
        <w:t xml:space="preserve">Company characteristics</w:t>
      </w:r>
      <w:r>
        <w:t xml:space="preserve"> </w:t>
      </w:r>
      <w:r>
        <w:t xml:space="preserve">— size, sector, tech stack, regulatory environment</w:t>
      </w:r>
    </w:p>
    <w:p>
      <w:pPr>
        <w:pStyle w:val="Compact"/>
        <w:numPr>
          <w:ilvl w:val="0"/>
          <w:numId w:val="1004"/>
        </w:numPr>
      </w:pPr>
      <w:r>
        <w:rPr>
          <w:b/>
          <w:bCs/>
        </w:rPr>
        <w:t xml:space="preserve">Buyer role</w:t>
      </w:r>
      <w:r>
        <w:t xml:space="preserve"> </w:t>
      </w:r>
      <w:r>
        <w:t xml:space="preserve">— the title, the function, the level of seniority</w:t>
      </w:r>
    </w:p>
    <w:p>
      <w:pPr>
        <w:pStyle w:val="Compact"/>
        <w:numPr>
          <w:ilvl w:val="0"/>
          <w:numId w:val="1004"/>
        </w:numPr>
      </w:pPr>
      <w:r>
        <w:rPr>
          <w:b/>
          <w:bCs/>
        </w:rPr>
        <w:t xml:space="preserve">Problem state</w:t>
      </w:r>
      <w:r>
        <w:t xml:space="preserve"> </w:t>
      </w:r>
      <w:r>
        <w:t xml:space="preserve">— the specific condition that makes this problem acute for them right now</w:t>
      </w:r>
    </w:p>
    <w:p>
      <w:pPr>
        <w:pStyle w:val="Compact"/>
        <w:numPr>
          <w:ilvl w:val="0"/>
          <w:numId w:val="1004"/>
        </w:numPr>
      </w:pPr>
      <w:r>
        <w:rPr>
          <w:b/>
          <w:bCs/>
        </w:rPr>
        <w:t xml:space="preserve">Trigger event</w:t>
      </w:r>
      <w:r>
        <w:t xml:space="preserve"> </w:t>
      </w:r>
      <w:r>
        <w:t xml:space="preserve">— the thing that happened recently to make them willing to act</w:t>
      </w:r>
    </w:p>
    <w:p>
      <w:pPr>
        <w:pStyle w:val="FirstParagraph"/>
      </w:pPr>
      <w:r>
        <w:t xml:space="preserve">The trigger event is what converts a prospect into an active buyer. Without a trigger, they are interested but not buying. With a trigger, they have urgency. Common triggers include: a new regulatory requirement, a recent public incident, a change in leadership, a failed audit, a competitor doing something they can’t match, a technology they just decommissioned that leaves a gap.</w:t>
      </w:r>
    </w:p>
    <w:p>
      <w:pPr>
        <w:pStyle w:val="BodyText"/>
      </w:pPr>
      <w:r>
        <w:t xml:space="preserve">Your job in prospecting is not to find people who might be interested. It is to find people who have just had the trigger event. That is a much more tractable search.</w:t>
      </w:r>
    </w:p>
    <w:p>
      <w:pPr>
        <w:pStyle w:val="BodyText"/>
      </w:pPr>
      <w:r>
        <w:t xml:space="preserve">One way to identify your trigger is to look at your existing best customers and ask: what happened in the three months before they first contacted you? The pattern across two or three answers is usually your ICP trigger.</w:t>
      </w:r>
    </w:p>
    <w:p>
      <w:r>
        <w:pict>
          <v:rect style="width:0;height:1.5pt" o:hralign="center" o:hrstd="t" o:hr="t"/>
        </w:pict>
      </w:r>
    </w:p>
    <w:bookmarkEnd w:id="14"/>
    <w:bookmarkStart w:id="15" w:name="the-status-quo-is-your-real-competitor"/>
    <w:p>
      <w:pPr>
        <w:pStyle w:val="Heading3"/>
      </w:pPr>
      <w:r>
        <w:t xml:space="preserve">The Status Quo Is Your Real Competitor</w:t>
      </w:r>
    </w:p>
    <w:p>
      <w:pPr>
        <w:pStyle w:val="FirstParagraph"/>
      </w:pPr>
      <w:r>
        <w:t xml:space="preserve">Before you can sell against a named competitor, you have to sell against doing nothing.</w:t>
      </w:r>
      <w:r>
        <w:t xml:space="preserve"> </w:t>
      </w:r>
      <w:r>
        <w:t xml:space="preserve">“Doing nothing”</w:t>
      </w:r>
      <w:r>
        <w:t xml:space="preserve"> </w:t>
      </w:r>
      <w:r>
        <w:t xml:space="preserve">is the most common outcome of any enterprise evaluation. Not choosing a different vendor — just not deciding at all.</w:t>
      </w:r>
    </w:p>
    <w:p>
      <w:pPr>
        <w:pStyle w:val="BodyText"/>
      </w:pPr>
      <w:r>
        <w:t xml:space="preserve">The status quo has powerful advocates inside every enterprise. The team that built the existing process has sunk cost invested in it. The people who use it have muscle memory. The manager who approved it three years ago has reputational equity. None of these people are your enemies — but none of them will volunteer to make your case.</w:t>
      </w:r>
    </w:p>
    <w:p>
      <w:pPr>
        <w:pStyle w:val="BodyText"/>
      </w:pPr>
      <w:r>
        <w:t xml:space="preserve">The status quo also has one key advantage over any challenger: it is known. Its costs are invisible because they are baked into operating assumptions. Your product introduces change, which has visible costs (time, disruption, retraining, risk of failure) even when the financial case for change is clear.</w:t>
      </w:r>
    </w:p>
    <w:p>
      <w:pPr>
        <w:pStyle w:val="BodyText"/>
      </w:pPr>
      <w:r>
        <w:t xml:space="preserve">To compete with the status quo, you need to make its costs visible. This is different from attacking it. You are not saying their current approach is wrong. You are helping them quantify what they are already paying, so that the comparison with your solution is a calculation rather than a preference.</w:t>
      </w:r>
    </w:p>
    <w:p>
      <w:pPr>
        <w:pStyle w:val="BodyText"/>
      </w:pPr>
      <w:r>
        <w:t xml:space="preserve">The question that surfaces this is not</w:t>
      </w:r>
      <w:r>
        <w:t xml:space="preserve"> </w:t>
      </w:r>
      <w:r>
        <w:t xml:space="preserve">“what’s wrong with what you’re doing today?”</w:t>
      </w:r>
      <w:r>
        <w:t xml:space="preserve"> </w:t>
      </w:r>
      <w:r>
        <w:t xml:space="preserve">— that puts them on the defensive. The question is</w:t>
      </w:r>
      <w:r>
        <w:t xml:space="preserve"> </w:t>
      </w:r>
      <w:r>
        <w:t xml:space="preserve">“what does it cost you when this goes wrong?”</w:t>
      </w:r>
      <w:r>
        <w:t xml:space="preserve"> </w:t>
      </w:r>
      <w:r>
        <w:t xml:space="preserve">or</w:t>
      </w:r>
      <w:r>
        <w:t xml:space="preserve"> </w:t>
      </w:r>
      <w:r>
        <w:t xml:space="preserve">“how do you currently handle [the thing your product does]?”</w:t>
      </w:r>
      <w:r>
        <w:t xml:space="preserve"> </w:t>
      </w:r>
      <w:r>
        <w:t xml:space="preserve">Listen for the process. The inefficiency is usually audible in the description.</w:t>
      </w:r>
    </w:p>
    <w:p>
      <w:pPr>
        <w:pStyle w:val="BlockText"/>
      </w:pPr>
      <w:r>
        <w:rPr>
          <w:b/>
          <w:bCs/>
        </w:rPr>
        <w:t xml:space="preserve">Sidebar: Archimedes and the lever</w:t>
      </w:r>
    </w:p>
    <w:p>
      <w:pPr>
        <w:pStyle w:val="BlockText"/>
      </w:pPr>
      <w:r>
        <w:t xml:space="preserve">Archimedes said:</w:t>
      </w:r>
      <w:r>
        <w:t xml:space="preserve"> </w:t>
      </w:r>
      <w:r>
        <w:t xml:space="preserve">“Give me a lever long enough and a fulcrum on which to place it, and I shall move the world.”</w:t>
      </w:r>
      <w:r>
        <w:t xml:space="preserve"> </w:t>
      </w:r>
      <w:r>
        <w:t xml:space="preserve">The lever is your product. The fulcrum is the buyer’s pain. Without the fulcrum — a solid, specific problem that is costing them something real — the lever has nothing to push against. Every sales conversation that doesn’t start with establishing the pain is a lever with no fulcrum. You are exerting force against nothing.</w:t>
      </w:r>
    </w:p>
    <w:p>
      <w:r>
        <w:pict>
          <v:rect style="width:0;height:1.5pt" o:hralign="center" o:hrstd="t" o:hr="t"/>
        </w:pict>
      </w:r>
    </w:p>
    <w:bookmarkEnd w:id="15"/>
    <w:bookmarkStart w:id="16" w:name="value-based-pricing"/>
    <w:p>
      <w:pPr>
        <w:pStyle w:val="Heading3"/>
      </w:pPr>
      <w:r>
        <w:t xml:space="preserve">Value-Based Pricing</w:t>
      </w:r>
    </w:p>
    <w:p>
      <w:pPr>
        <w:pStyle w:val="FirstParagraph"/>
      </w:pPr>
      <w:r>
        <w:t xml:space="preserve">Most technical founders price by reference to cost: what it costs to build, host, and support, plus a margin that feels reasonable. This is the wrong starting point, and it produces prices that are consistently too low.</w:t>
      </w:r>
    </w:p>
    <w:p>
      <w:pPr>
        <w:pStyle w:val="BodyText"/>
      </w:pPr>
      <w:r>
        <w:t xml:space="preserve">The correct starting point is value: what is the problem worth to the buyer?</w:t>
      </w:r>
    </w:p>
    <w:p>
      <w:pPr>
        <w:pStyle w:val="BodyText"/>
      </w:pPr>
      <w:r>
        <w:t xml:space="preserve">If your product saves a company £400k per year in analyst time, and you charge £40k per year, you have priced at 10% of value. That is a reasonable ratio for a first deal — you are new, unproven, and the customer is taking a risk. But if you had priced at £20k because your costs are £10k and you wanted a 100% margin, you have left £20k per customer per year on the table, and you have set an anchor that will be very difficult to move.</w:t>
      </w:r>
    </w:p>
    <w:p>
      <w:pPr>
        <w:pStyle w:val="BodyText"/>
      </w:pPr>
      <w:r>
        <w:t xml:space="preserve">The other reason cost-based pricing is dangerous is that it communicates something to the buyer. Enterprise buyers are sophisticated. A very low price triggers the question: what are they missing? Is the vendor not confident in the value? Are there hidden costs? Is this a startup that might not be around in two years?</w:t>
      </w:r>
    </w:p>
    <w:p>
      <w:pPr>
        <w:pStyle w:val="BodyText"/>
      </w:pPr>
      <w:r>
        <w:t xml:space="preserve">Price signals quality, stability, and confidence. A price that is too low for the problem you are solving raises more questions than it answers.</w:t>
      </w:r>
    </w:p>
    <w:p>
      <w:pPr>
        <w:pStyle w:val="BlockText"/>
      </w:pPr>
      <w:r>
        <w:rPr>
          <w:b/>
          <w:bCs/>
        </w:rPr>
        <w:t xml:space="preserve">Sidebar: Elon Musk and first principles</w:t>
      </w:r>
    </w:p>
    <w:p>
      <w:pPr>
        <w:pStyle w:val="BlockText"/>
      </w:pPr>
      <w:r>
        <w:t xml:space="preserve">Musk’s much-discussed</w:t>
      </w:r>
      <w:r>
        <w:t xml:space="preserve"> </w:t>
      </w:r>
      <w:r>
        <w:t xml:space="preserve">“first principles”</w:t>
      </w:r>
      <w:r>
        <w:t xml:space="preserve"> </w:t>
      </w:r>
      <w:r>
        <w:t xml:space="preserve">approach is directly applicable to pricing. Convention says: look at what competitors charge and price relative to that. First principles says: what is the raw value this creates, and what fraction of that value is a fair price to charge? These two methods often produce very different numbers. Conventional pricing anchors you to a market that may itself be mispriced. First principles forces you to defend your number in terms of value, which is exactly the conversation you want to have with a sophisticated buyer.</w:t>
      </w:r>
    </w:p>
    <w:p>
      <w:r>
        <w:pict>
          <v:rect style="width:0;height:1.5pt" o:hralign="center" o:hrstd="t" o:hr="t"/>
        </w:pict>
      </w:r>
    </w:p>
    <w:bookmarkEnd w:id="16"/>
    <w:bookmarkStart w:id="17" w:name="what-your-price-signals"/>
    <w:p>
      <w:pPr>
        <w:pStyle w:val="Heading3"/>
      </w:pPr>
      <w:r>
        <w:t xml:space="preserve">What Your Price Signals</w:t>
      </w:r>
    </w:p>
    <w:p>
      <w:pPr>
        <w:pStyle w:val="FirstParagraph"/>
      </w:pPr>
      <w:r>
        <w:t xml:space="preserve">Pricing is a form of communication. It tells the buyer several things simultaneously, and you should be intentional about what you want it to say.</w:t>
      </w:r>
    </w:p>
    <w:p>
      <w:pPr>
        <w:pStyle w:val="BodyText"/>
      </w:pPr>
      <w:r>
        <w:t xml:space="preserve">A high price relative to peers signals: this is a premium product, the vendor is confident in the value, this is not a commodity. It attracts buyers who are solving expensive problems and can tolerate the cost.</w:t>
      </w:r>
    </w:p>
    <w:p>
      <w:pPr>
        <w:pStyle w:val="BodyText"/>
      </w:pPr>
      <w:r>
        <w:t xml:space="preserve">A low price signals: accessible, low risk, easy to try — or: unproven, struggling for revenue, not sure of the value. Buyers who are risk-averse or budget-constrained respond well to low pricing. Buyers who are trying to solve a £5M problem are suspicious of a £20k solution.</w:t>
      </w:r>
    </w:p>
    <w:p>
      <w:pPr>
        <w:pStyle w:val="BodyText"/>
      </w:pPr>
      <w:r>
        <w:t xml:space="preserve">Price also affects the approval path. In most enterprises, there are informal thresholds below which a department head can approve without procurement involvement, without a formal tendering process, and often without legal review. These thresholds vary by organisation but are typically around £10k, £25k, and £75k (annual). A deal priced just above a threshold is in a different approval process than one just below it.</w:t>
      </w:r>
    </w:p>
    <w:p>
      <w:pPr>
        <w:pStyle w:val="BodyText"/>
      </w:pPr>
      <w:r>
        <w:t xml:space="preserve">This means that pricing a deal at £24k when the value is £100k is not just about leaving money on the table — it also means you will be approved by a different person than the one who controls the budget at the relevant scale. Deliberately pricing below a threshold to avoid procurement is a short-term tactic that often creates longer-term problems.</w:t>
      </w:r>
    </w:p>
    <w:p>
      <w:r>
        <w:pict>
          <v:rect style="width:0;height:1.5pt" o:hralign="center" o:hrstd="t" o:hr="t"/>
        </w:pict>
      </w:r>
    </w:p>
    <w:bookmarkEnd w:id="17"/>
    <w:bookmarkStart w:id="18" w:name="deal-structure-acv-tcv-and-nre"/>
    <w:p>
      <w:pPr>
        <w:pStyle w:val="Heading3"/>
      </w:pPr>
      <w:r>
        <w:t xml:space="preserve">Deal Structure: ACV, TCV, and NRE</w:t>
      </w:r>
    </w:p>
    <w:p>
      <w:pPr>
        <w:pStyle w:val="FirstParagraph"/>
      </w:pPr>
      <w:r>
        <w:t xml:space="preserve">The structure of a deal — not just the price — affects how it gets approved, who approves it, and how the buyer accounts for it.</w:t>
      </w:r>
    </w:p>
    <w:p>
      <w:pPr>
        <w:pStyle w:val="BodyText"/>
      </w:pPr>
      <w:r>
        <w:rPr>
          <w:b/>
          <w:bCs/>
        </w:rPr>
        <w:t xml:space="preserve">ACV (Annual Contract Value)</w:t>
      </w:r>
      <w:r>
        <w:t xml:space="preserve"> </w:t>
      </w:r>
      <w:r>
        <w:t xml:space="preserve">is the annualised recurring value of the contract. This is the number most relevant for SaaS deals and is what most finance teams and investors use as the standard metric. A three-year deal worth £150k total has an ACV of £50k.</w:t>
      </w:r>
    </w:p>
    <w:p>
      <w:pPr>
        <w:pStyle w:val="BodyText"/>
      </w:pPr>
      <w:r>
        <w:rPr>
          <w:b/>
          <w:bCs/>
        </w:rPr>
        <w:t xml:space="preserve">TCV (Total Contract Value)</w:t>
      </w:r>
      <w:r>
        <w:t xml:space="preserve"> </w:t>
      </w:r>
      <w:r>
        <w:t xml:space="preserve">is the full value over the contract term. A three-year £150k deal has a TCV of £150k. TCV matters when you are trying to get a large number approved in a single signature — it is often easier to get a £150k three-year deal through than three sequential £50k annual deals, because the approval process is the same but you get the commercial certainty.</w:t>
      </w:r>
    </w:p>
    <w:p>
      <w:pPr>
        <w:pStyle w:val="BodyText"/>
      </w:pPr>
      <w:r>
        <w:rPr>
          <w:b/>
          <w:bCs/>
        </w:rPr>
        <w:t xml:space="preserve">NRE (Non-Recurring Engineering)</w:t>
      </w:r>
      <w:r>
        <w:t xml:space="preserve"> </w:t>
      </w:r>
      <w:r>
        <w:t xml:space="preserve">is one-off implementation or customisation cost. It sits outside the recurring ACV and is accounted for differently (often as capex rather than opex). NRE can be useful in getting a deal done faster — the customer can approve a capital spend more quickly than adding to an ongoing opex budget — but it can also be a signal that your product is not mature enough to deploy without significant custom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Structure element</w:t>
            </w:r>
          </w:p>
        </w:tc>
        <w:tc>
          <w:tcPr/>
          <w:p>
            <w:pPr>
              <w:pStyle w:val="Compact"/>
            </w:pPr>
            <w:r>
              <w:t xml:space="preserve">Approval level</w:t>
            </w:r>
          </w:p>
        </w:tc>
        <w:tc>
          <w:tcPr/>
          <w:p>
            <w:pPr>
              <w:pStyle w:val="Compact"/>
            </w:pPr>
            <w:r>
              <w:t xml:space="preserve">Accounting treatment</w:t>
            </w:r>
          </w:p>
        </w:tc>
        <w:tc>
          <w:tcPr/>
          <w:p>
            <w:pPr>
              <w:pStyle w:val="Compact"/>
            </w:pPr>
            <w:r>
              <w:t xml:space="preserve">Best used when</w:t>
            </w:r>
          </w:p>
        </w:tc>
      </w:tr>
      <w:tr>
        <w:tc>
          <w:tcPr/>
          <w:p>
            <w:pPr>
              <w:pStyle w:val="Compact"/>
            </w:pPr>
            <w:r>
              <w:t xml:space="preserve">Annual ACV &lt;£25k</w:t>
            </w:r>
          </w:p>
        </w:tc>
        <w:tc>
          <w:tcPr/>
          <w:p>
            <w:pPr>
              <w:pStyle w:val="Compact"/>
            </w:pPr>
            <w:r>
              <w:t xml:space="preserve">Department head</w:t>
            </w:r>
          </w:p>
        </w:tc>
        <w:tc>
          <w:tcPr/>
          <w:p>
            <w:pPr>
              <w:pStyle w:val="Compact"/>
            </w:pPr>
            <w:r>
              <w:t xml:space="preserve">Operating expense</w:t>
            </w:r>
          </w:p>
        </w:tc>
        <w:tc>
          <w:tcPr/>
          <w:p>
            <w:pPr>
              <w:pStyle w:val="Compact"/>
            </w:pPr>
            <w:r>
              <w:t xml:space="preserve">Early deals, fast close</w:t>
            </w:r>
          </w:p>
        </w:tc>
      </w:tr>
      <w:tr>
        <w:tc>
          <w:tcPr/>
          <w:p>
            <w:pPr>
              <w:pStyle w:val="Compact"/>
            </w:pPr>
            <w:r>
              <w:t xml:space="preserve">Annual ACV £25–100k</w:t>
            </w:r>
          </w:p>
        </w:tc>
        <w:tc>
          <w:tcPr/>
          <w:p>
            <w:pPr>
              <w:pStyle w:val="Compact"/>
            </w:pPr>
            <w:r>
              <w:t xml:space="preserve">VP/Director</w:t>
            </w:r>
          </w:p>
        </w:tc>
        <w:tc>
          <w:tcPr/>
          <w:p>
            <w:pPr>
              <w:pStyle w:val="Compact"/>
            </w:pPr>
            <w:r>
              <w:t xml:space="preserve">Operating expense</w:t>
            </w:r>
          </w:p>
        </w:tc>
        <w:tc>
          <w:tcPr/>
          <w:p>
            <w:pPr>
              <w:pStyle w:val="Compact"/>
            </w:pPr>
            <w:r>
              <w:t xml:space="preserve">Established relationships</w:t>
            </w:r>
          </w:p>
        </w:tc>
      </w:tr>
      <w:tr>
        <w:tc>
          <w:tcPr/>
          <w:p>
            <w:pPr>
              <w:pStyle w:val="Compact"/>
            </w:pPr>
            <w:r>
              <w:t xml:space="preserve">Multi-year TCV &gt;£100k</w:t>
            </w:r>
          </w:p>
        </w:tc>
        <w:tc>
          <w:tcPr/>
          <w:p>
            <w:pPr>
              <w:pStyle w:val="Compact"/>
            </w:pPr>
            <w:r>
              <w:t xml:space="preserve">CFO / Board</w:t>
            </w:r>
          </w:p>
        </w:tc>
        <w:tc>
          <w:tcPr/>
          <w:p>
            <w:pPr>
              <w:pStyle w:val="Compact"/>
            </w:pPr>
            <w:r>
              <w:t xml:space="preserve">Mix of opex and commitment</w:t>
            </w:r>
          </w:p>
        </w:tc>
        <w:tc>
          <w:tcPr/>
          <w:p>
            <w:pPr>
              <w:pStyle w:val="Compact"/>
            </w:pPr>
            <w:r>
              <w:t xml:space="preserve">High confidence, mature product</w:t>
            </w:r>
          </w:p>
        </w:tc>
      </w:tr>
      <w:tr>
        <w:tc>
          <w:tcPr/>
          <w:p>
            <w:pPr>
              <w:pStyle w:val="Compact"/>
            </w:pPr>
            <w:r>
              <w:t xml:space="preserve">NRE element</w:t>
            </w:r>
          </w:p>
        </w:tc>
        <w:tc>
          <w:tcPr/>
          <w:p>
            <w:pPr>
              <w:pStyle w:val="Compact"/>
            </w:pPr>
            <w:r>
              <w:t xml:space="preserve">Capital budget</w:t>
            </w:r>
          </w:p>
        </w:tc>
        <w:tc>
          <w:tcPr/>
          <w:p>
            <w:pPr>
              <w:pStyle w:val="Compact"/>
            </w:pPr>
            <w:r>
              <w:t xml:space="preserve">Capex</w:t>
            </w:r>
          </w:p>
        </w:tc>
        <w:tc>
          <w:tcPr/>
          <w:p>
            <w:pPr>
              <w:pStyle w:val="Compact"/>
            </w:pPr>
            <w:r>
              <w:t xml:space="preserve">Custom integration requirements</w:t>
            </w:r>
          </w:p>
        </w:tc>
      </w:tr>
    </w:tbl>
    <w:p>
      <w:pPr>
        <w:pStyle w:val="BodyText"/>
      </w:pPr>
      <w:r>
        <w:t xml:space="preserve">The implication is that deal structure is not just a commercial decision — it is a sales strategy decision. Understand who needs to approve your deal before you write the proposal, and structure accordingly.</w:t>
      </w:r>
    </w:p>
    <w:p>
      <w:r>
        <w:pict>
          <v:rect style="width:0;height:1.5pt" o:hralign="center" o:hrstd="t" o:hr="t"/>
        </w:pict>
      </w:r>
    </w:p>
    <w:bookmarkEnd w:id="18"/>
    <w:bookmarkStart w:id="19" w:name="gross-margin-benchmarks"/>
    <w:p>
      <w:pPr>
        <w:pStyle w:val="Heading3"/>
      </w:pPr>
      <w:r>
        <w:t xml:space="preserve">Gross Margin Benchmarks</w:t>
      </w:r>
    </w:p>
    <w:p>
      <w:pPr>
        <w:pStyle w:val="FirstParagraph"/>
      </w:pPr>
      <w:r>
        <w:t xml:space="preserve">Margin is a signal of business health to investors, and a signal of value delivery to customers. Knowing the norms for your category helps you price defensibly.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Business type</w:t>
            </w:r>
          </w:p>
        </w:tc>
        <w:tc>
          <w:tcPr/>
          <w:p>
            <w:pPr>
              <w:pStyle w:val="Compact"/>
            </w:pPr>
            <w:r>
              <w:t xml:space="preserve">Gross margin range</w:t>
            </w:r>
          </w:p>
        </w:tc>
        <w:tc>
          <w:tcPr/>
          <w:p>
            <w:pPr>
              <w:pStyle w:val="Compact"/>
            </w:pPr>
            <w:r>
              <w:t xml:space="preserve">Key driver</w:t>
            </w:r>
          </w:p>
        </w:tc>
      </w:tr>
      <w:tr>
        <w:tc>
          <w:tcPr/>
          <w:p>
            <w:pPr>
              <w:pStyle w:val="Compact"/>
            </w:pPr>
            <w:r>
              <w:t xml:space="preserve">Pure SaaS</w:t>
            </w:r>
          </w:p>
        </w:tc>
        <w:tc>
          <w:tcPr/>
          <w:p>
            <w:pPr>
              <w:pStyle w:val="Compact"/>
            </w:pPr>
            <w:r>
              <w:t xml:space="preserve">75–85%</w:t>
            </w:r>
          </w:p>
        </w:tc>
        <w:tc>
          <w:tcPr/>
          <w:p>
            <w:pPr>
              <w:pStyle w:val="Compact"/>
            </w:pPr>
            <w:r>
              <w:t xml:space="preserve">Near-zero marginal cost per customer</w:t>
            </w:r>
          </w:p>
        </w:tc>
      </w:tr>
      <w:tr>
        <w:tc>
          <w:tcPr/>
          <w:p>
            <w:pPr>
              <w:pStyle w:val="Compact"/>
            </w:pPr>
            <w:r>
              <w:t xml:space="preserve">AI / inference-heavy SaaS</w:t>
            </w:r>
          </w:p>
        </w:tc>
        <w:tc>
          <w:tcPr/>
          <w:p>
            <w:pPr>
              <w:pStyle w:val="Compact"/>
            </w:pPr>
            <w:r>
              <w:t xml:space="preserve">60–75%</w:t>
            </w:r>
          </w:p>
        </w:tc>
        <w:tc>
          <w:tcPr/>
          <w:p>
            <w:pPr>
              <w:pStyle w:val="Compact"/>
            </w:pPr>
            <w:r>
              <w:t xml:space="preserve">GPU and inference costs reduce margin</w:t>
            </w:r>
          </w:p>
        </w:tc>
      </w:tr>
      <w:tr>
        <w:tc>
          <w:tcPr/>
          <w:p>
            <w:pPr>
              <w:pStyle w:val="Compact"/>
            </w:pPr>
            <w:r>
              <w:t xml:space="preserve">Services-led / implementation</w:t>
            </w:r>
          </w:p>
        </w:tc>
        <w:tc>
          <w:tcPr/>
          <w:p>
            <w:pPr>
              <w:pStyle w:val="Compact"/>
            </w:pPr>
            <w:r>
              <w:t xml:space="preserve">35–55%</w:t>
            </w:r>
          </w:p>
        </w:tc>
        <w:tc>
          <w:tcPr/>
          <w:p>
            <w:pPr>
              <w:pStyle w:val="Compact"/>
            </w:pPr>
            <w:r>
              <w:t xml:space="preserve">Labour-intensive delivery</w:t>
            </w:r>
          </w:p>
        </w:tc>
      </w:tr>
      <w:tr>
        <w:tc>
          <w:tcPr/>
          <w:p>
            <w:pPr>
              <w:pStyle w:val="Compact"/>
            </w:pPr>
            <w:r>
              <w:t xml:space="preserve">Hardware product</w:t>
            </w:r>
          </w:p>
        </w:tc>
        <w:tc>
          <w:tcPr/>
          <w:p>
            <w:pPr>
              <w:pStyle w:val="Compact"/>
            </w:pPr>
            <w:r>
              <w:t xml:space="preserve">40–60%</w:t>
            </w:r>
          </w:p>
        </w:tc>
        <w:tc>
          <w:tcPr/>
          <w:p>
            <w:pPr>
              <w:pStyle w:val="Compact"/>
            </w:pPr>
            <w:r>
              <w:t xml:space="preserve">COGS-heavy; defend with software margin</w:t>
            </w:r>
          </w:p>
        </w:tc>
      </w:tr>
      <w:tr>
        <w:tc>
          <w:tcPr/>
          <w:p>
            <w:pPr>
              <w:pStyle w:val="Compact"/>
            </w:pPr>
            <w:r>
              <w:t xml:space="preserve">Hardware + software platform</w:t>
            </w:r>
          </w:p>
        </w:tc>
        <w:tc>
          <w:tcPr/>
          <w:p>
            <w:pPr>
              <w:pStyle w:val="Compact"/>
            </w:pPr>
            <w:r>
              <w:t xml:space="preserve">65–80% blended</w:t>
            </w:r>
          </w:p>
        </w:tc>
        <w:tc>
          <w:tcPr/>
          <w:p>
            <w:pPr>
              <w:pStyle w:val="Compact"/>
            </w:pPr>
            <w:r>
              <w:t xml:space="preserve">Hardware at lower margin, software at high margin</w:t>
            </w:r>
          </w:p>
        </w:tc>
      </w:tr>
    </w:tbl>
    <w:p>
      <w:pPr>
        <w:pStyle w:val="BodyText"/>
      </w:pPr>
      <w:r>
        <w:t xml:space="preserve">For a STEM startup, gross margin is often lower in the early years because of manual delivery, customer success overhead, and infrastructure that isn’t yet optimised. This is normal, but you should know your current gross margin per customer and have a credible path to the category benchmark.</w:t>
      </w:r>
    </w:p>
    <w:p>
      <w:pPr>
        <w:pStyle w:val="BodyText"/>
      </w:pPr>
      <w:r>
        <w:t xml:space="preserve">The reason this matters for sales: buyers at enterprise scale sometimes ask about your financial position. Investors certainly do. A business with 40% gross margin in a pure SaaS category is either underpriced, over-serviced, or has cost structure problems — and sophisticated counterparties will notice.</w:t>
      </w:r>
    </w:p>
    <w:p>
      <w:r>
        <w:pict>
          <v:rect style="width:0;height:1.5pt" o:hralign="center" o:hrstd="t" o:hr="t"/>
        </w:pict>
      </w:r>
    </w:p>
    <w:bookmarkEnd w:id="19"/>
    <w:bookmarkEnd w:id="20"/>
    <w:bookmarkStart w:id="29" w:name="chapter-2"/>
    <w:p>
      <w:pPr>
        <w:pStyle w:val="Heading2"/>
      </w:pPr>
      <w:r>
        <w:t xml:space="preserve">Chapter 2 — Getting Into the Room</w:t>
      </w:r>
    </w:p>
    <w:p>
      <w:pPr>
        <w:pStyle w:val="BlockText"/>
      </w:pPr>
      <w:r>
        <w:rPr>
          <w:i/>
          <w:iCs/>
        </w:rPr>
        <w:t xml:space="preserve">“Persuasion is achieved by the speaker’s personal character when the speech is so spoken as to make us think him credible… by the hearers, when the speech stirs their emotions… by the speech itself, when we have proved a truth or an apparent truth by means of the persuasive arguments suitable to the case.”</w:t>
      </w:r>
    </w:p>
    <w:p>
      <w:pPr>
        <w:pStyle w:val="BlockText"/>
      </w:pPr>
      <w:r>
        <w:t xml:space="preserve">— Aristotle,</w:t>
      </w:r>
      <w:r>
        <w:t xml:space="preserve"> </w:t>
      </w:r>
      <w:r>
        <w:rPr>
          <w:i/>
          <w:iCs/>
        </w:rPr>
        <w:t xml:space="preserve">Rhetoric</w:t>
      </w:r>
    </w:p>
    <w:tbl>
      <w:tblPr>
        <w:tblStyle w:val="FigureTable"/>
        <w:tblW w:type="auto" w:w="0"/>
        <w:jc w:val="center"/>
        <w:tblLook w:firstRow="0" w:lastRow="0" w:firstColumn="0" w:lastColumn="0"/>
      </w:tblPr>
      <w:tblGrid>
        <w:gridCol w:w="7920"/>
      </w:tblGrid>
      <w:tr>
        <w:tc>
          <w:tcPr/>
          <w:p>
            <w:pPr>
              <w:pStyle w:val="Compact"/>
              <w:jc w:val="center"/>
            </w:pPr>
            <w:r>
              <w:t xml:space="preserve">Figure 2.1: Aristotle teaching at the Lyceum</w:t>
            </w:r>
          </w:p>
        </w:tc>
      </w:tr>
    </w:tbl>
    <w:p>
      <w:pPr>
        <w:pStyle w:val="ImageCaption"/>
      </w:pPr>
      <w:r>
        <w:t xml:space="preserve">Figure 2.1: Aristotle teaching at the Lyceum</w:t>
      </w:r>
    </w:p>
    <w:p>
      <w:pPr>
        <w:pStyle w:val="BodyText"/>
      </w:pPr>
      <w:r>
        <w:rPr>
          <w:i/>
          <w:iCs/>
        </w:rPr>
        <w:t xml:space="preserve">Aristotle in the Lyceum, surrounded by students who have not yet been asked to buy anything. The three modes of persuasion — Ethos, Pathos, Logos — are visible in every effective sales conversation. Founders who arrive with Logos alone will have a harder time than Aristotle.</w:t>
      </w:r>
    </w:p>
    <w:p>
      <w:r>
        <w:pict>
          <v:rect style="width:0;height:1.5pt" o:hralign="center" o:hrstd="t" o:hr="t"/>
        </w:pict>
      </w:r>
    </w:p>
    <w:bookmarkStart w:id="21" w:name="three-modes-of-persuasion"/>
    <w:p>
      <w:pPr>
        <w:pStyle w:val="Heading3"/>
      </w:pPr>
      <w:r>
        <w:t xml:space="preserve">Three Modes of Persuasion</w:t>
      </w:r>
    </w:p>
    <w:p>
      <w:pPr>
        <w:pStyle w:val="FirstParagraph"/>
      </w:pPr>
      <w:r>
        <w:t xml:space="preserve">Aristotle identified three ways to persuade: Ethos (credibility — who you are), Pathos (emotion — what they feel), and Logos (logic — the argument itself). He was describing political rhetoric in fourth-century Athens, but the framework maps directly onto the enterprise sales conversation.</w:t>
      </w:r>
    </w:p>
    <w:p>
      <w:pPr>
        <w:pStyle w:val="BodyText"/>
      </w:pPr>
      <w:r>
        <w:t xml:space="preserve">Founders arrive with Logos. They have the technical proof, the benchmarks, the ROI calculation, the case study. The argument is sound. The numbers are right.</w:t>
      </w:r>
    </w:p>
    <w:p>
      <w:pPr>
        <w:pStyle w:val="BodyText"/>
      </w:pPr>
      <w:r>
        <w:t xml:space="preserve">What they often lack is Ethos — the credibility that comes from the buyer’s trust in the person making the argument, not just the argument itself. If the buyer has never heard of you, has no reference from a peer they trust, and can’t verify your claims without significant effort, the Logos is largely irrelevant. They will not act on a credible argument from an unknown source.</w:t>
      </w:r>
    </w:p>
    <w:p>
      <w:pPr>
        <w:pStyle w:val="BodyText"/>
      </w:pPr>
      <w:r>
        <w:t xml:space="preserve">And Pathos — the emotional connection to the problem — is what creates urgency. It is not manipulation. It is the recognition that the buyer is a person who feels the pain of the problem, who worries about the things that can go wrong, who wants to be the person who solved this. If you engage only at the intellectual level, you get intellectual responses: thoughtful questions, considered scepticism, and requests for more information. To create a decision, you need to connect to what the buyer actually cares about.</w:t>
      </w:r>
    </w:p>
    <w:p>
      <w:pPr>
        <w:pStyle w:val="BodyText"/>
      </w:pPr>
      <w:r>
        <w:t xml:space="preserve">Most STEM founders lead with technical proof, which addresses Logos. The work of this chapter is to build Ethos and engage Pathos — and to do this with the person who actually controls the decision.</w:t>
      </w:r>
    </w:p>
    <w:p>
      <w:r>
        <w:pict>
          <v:rect style="width:0;height:1.5pt" o:hralign="center" o:hrstd="t" o:hr="t"/>
        </w:pict>
      </w:r>
    </w:p>
    <w:bookmarkEnd w:id="21"/>
    <w:bookmarkStart w:id="22" w:name="the-economic-buyer"/>
    <w:p>
      <w:pPr>
        <w:pStyle w:val="Heading3"/>
      </w:pPr>
      <w:r>
        <w:t xml:space="preserve">The Economic Buyer</w:t>
      </w:r>
    </w:p>
    <w:p>
      <w:pPr>
        <w:pStyle w:val="FirstParagraph"/>
      </w:pPr>
      <w:r>
        <w:t xml:space="preserve">The Economic Buyer (EB) is the person who has budget authority, is held accountable for the outcome, and has final word on whether to proceed.</w:t>
      </w:r>
    </w:p>
    <w:p>
      <w:pPr>
        <w:pStyle w:val="BodyText"/>
      </w:pPr>
      <w:r>
        <w:t xml:space="preserve">All three criteria must be present. The person who has budget but no accountability for the outcome is a sponsor, not the EB. The person who is accountable for the outcome but must get financial approval from above is not the EB. The person who has the final operational say but reports to someone who still needs to approve the cost is not the EB.</w:t>
      </w:r>
    </w:p>
    <w:p>
      <w:pPr>
        <w:pStyle w:val="BodyText"/>
      </w:pPr>
      <w:r>
        <w:t xml:space="preserve">In a small company, the EB is usually obvious — it is the CEO or the CFO or the founder. In a large enterprise, the EB is often obscured. The person you are talking to may genuinely believe they are the EB. They may be trying to protect their turf. They may simply not know who actually controls the budget this year after the reorganisation.</w:t>
      </w:r>
    </w:p>
    <w:p>
      <w:pPr>
        <w:pStyle w:val="BodyText"/>
      </w:pPr>
      <w:r>
        <w:t xml:space="preserve">The three characteristics of an EB:</w:t>
      </w:r>
    </w:p>
    <w:p>
      <w:pPr>
        <w:pStyle w:val="Compact"/>
        <w:numPr>
          <w:ilvl w:val="0"/>
          <w:numId w:val="1005"/>
        </w:numPr>
      </w:pPr>
      <w:r>
        <w:rPr>
          <w:b/>
          <w:bCs/>
        </w:rPr>
        <w:t xml:space="preserve">Budget authority</w:t>
      </w:r>
      <w:r>
        <w:t xml:space="preserve">: They can commit the money without additional approval. Not</w:t>
      </w:r>
      <w:r>
        <w:t xml:space="preserve"> </w:t>
      </w:r>
      <w:r>
        <w:t xml:space="preserve">“I’ll put it in the plan”</w:t>
      </w:r>
      <w:r>
        <w:t xml:space="preserve"> </w:t>
      </w:r>
      <w:r>
        <w:t xml:space="preserve">— they can sign the PO.</w:t>
      </w:r>
    </w:p>
    <w:p>
      <w:pPr>
        <w:pStyle w:val="Compact"/>
        <w:numPr>
          <w:ilvl w:val="0"/>
          <w:numId w:val="1005"/>
        </w:numPr>
      </w:pPr>
      <w:r>
        <w:rPr>
          <w:b/>
          <w:bCs/>
        </w:rPr>
        <w:t xml:space="preserve">Accountability</w:t>
      </w:r>
      <w:r>
        <w:t xml:space="preserve">: The success or failure of this initiative is on their performance review. They will be asked about it.</w:t>
      </w:r>
    </w:p>
    <w:p>
      <w:pPr>
        <w:pStyle w:val="Compact"/>
        <w:numPr>
          <w:ilvl w:val="0"/>
          <w:numId w:val="1005"/>
        </w:numPr>
      </w:pPr>
      <w:r>
        <w:rPr>
          <w:b/>
          <w:bCs/>
        </w:rPr>
        <w:t xml:space="preserve">Final word</w:t>
      </w:r>
      <w:r>
        <w:t xml:space="preserve">: When the internal conversation is over, their view determines the outcome.</w:t>
      </w:r>
    </w:p>
    <w:p>
      <w:pPr>
        <w:pStyle w:val="FirstParagraph"/>
      </w:pPr>
      <w:r>
        <w:t xml:space="preserve">Why does this matter so much? Because if you are selling to someone who is not the EB, you are building a proposal that will eventually be reviewed and summarised by someone else for someone else — who has not heard your pitch, has not been through the discovery conversation, and will make their judgement from a written summary that the person you’ve been talking to may not be able to write compellingly.</w:t>
      </w:r>
    </w:p>
    <w:p>
      <w:r>
        <w:pict>
          <v:rect style="width:0;height:1.5pt" o:hralign="center" o:hrstd="t" o:hr="t"/>
        </w:pict>
      </w:r>
    </w:p>
    <w:bookmarkEnd w:id="22"/>
    <w:bookmarkStart w:id="23" w:name="why-founders-avoid-the-eb"/>
    <w:p>
      <w:pPr>
        <w:pStyle w:val="Heading3"/>
      </w:pPr>
      <w:r>
        <w:t xml:space="preserve">Why Founders Avoid the EB</w:t>
      </w:r>
    </w:p>
    <w:p>
      <w:pPr>
        <w:pStyle w:val="FirstParagraph"/>
      </w:pPr>
      <w:r>
        <w:t xml:space="preserve">There are legitimate reasons to not start with the EB. If you have no relationship, no credibility, and no warm introduction, cold outreach to a C-suite buyer often fails. The normal entry point is the technical champion or the operational manager — someone who feels the problem directly and is willing to evaluate the solution.</w:t>
      </w:r>
    </w:p>
    <w:p>
      <w:pPr>
        <w:pStyle w:val="BodyText"/>
      </w:pPr>
      <w:r>
        <w:t xml:space="preserve">The error is not starting there. The error is staying there.</w:t>
      </w:r>
    </w:p>
    <w:p>
      <w:pPr>
        <w:pStyle w:val="BodyText"/>
      </w:pPr>
      <w:r>
        <w:t xml:space="preserve">Founders avoid escalating to the EB because:</w:t>
      </w:r>
    </w:p>
    <w:p>
      <w:pPr>
        <w:pStyle w:val="Compact"/>
        <w:numPr>
          <w:ilvl w:val="0"/>
          <w:numId w:val="1006"/>
        </w:numPr>
      </w:pPr>
      <w:r>
        <w:t xml:space="preserve">They fear being rejected by someone senior before the product has been fully evaluated</w:t>
      </w:r>
    </w:p>
    <w:p>
      <w:pPr>
        <w:pStyle w:val="Compact"/>
        <w:numPr>
          <w:ilvl w:val="0"/>
          <w:numId w:val="1006"/>
        </w:numPr>
      </w:pPr>
      <w:r>
        <w:t xml:space="preserve">They have built a good relationship with the champion and don’t want to disrupt it</w:t>
      </w:r>
    </w:p>
    <w:p>
      <w:pPr>
        <w:pStyle w:val="Compact"/>
        <w:numPr>
          <w:ilvl w:val="0"/>
          <w:numId w:val="1006"/>
        </w:numPr>
      </w:pPr>
      <w:r>
        <w:t xml:space="preserve">They assume the champion will make the case when the time comes</w:t>
      </w:r>
    </w:p>
    <w:p>
      <w:pPr>
        <w:pStyle w:val="Compact"/>
        <w:numPr>
          <w:ilvl w:val="0"/>
          <w:numId w:val="1006"/>
        </w:numPr>
      </w:pPr>
      <w:r>
        <w:t xml:space="preserve">They don’t know how to get an EB meeting without it feeling like a power move</w:t>
      </w:r>
    </w:p>
    <w:p>
      <w:pPr>
        <w:pStyle w:val="FirstParagraph"/>
      </w:pPr>
      <w:r>
        <w:t xml:space="preserve">The cost of this avoidance is that deals stall. The champion finishes their evaluation, produces a recommendation, and then… nothing. Because the EB has not been in the conversation, they were not involved in defining the success criteria, they have not developed trust in the vendor, and they are now being asked to approve a budget based on someone else’s summary. This is exactly the moment when</w:t>
      </w:r>
      <w:r>
        <w:t xml:space="preserve"> </w:t>
      </w:r>
      <w:r>
        <w:t xml:space="preserve">“we need to pause and evaluate some other options”</w:t>
      </w:r>
      <w:r>
        <w:t xml:space="preserve"> </w:t>
      </w:r>
      <w:r>
        <w:t xml:space="preserve">happens.</w:t>
      </w:r>
    </w:p>
    <w:p>
      <w:pPr>
        <w:pStyle w:val="BodyText"/>
      </w:pPr>
      <w:r>
        <w:t xml:space="preserve">The champion is not the buyer. They are your advocate inside the building. You need both.</w:t>
      </w:r>
    </w:p>
    <w:p>
      <w:r>
        <w:pict>
          <v:rect style="width:0;height:1.5pt" o:hralign="center" o:hrstd="t" o:hr="t"/>
        </w:pict>
      </w:r>
    </w:p>
    <w:bookmarkEnd w:id="23"/>
    <w:bookmarkStart w:id="24" w:name="getting-to-the-eb-through-the-champion"/>
    <w:p>
      <w:pPr>
        <w:pStyle w:val="Heading3"/>
      </w:pPr>
      <w:r>
        <w:t xml:space="preserve">Getting to the EB Through the Champion</w:t>
      </w:r>
    </w:p>
    <w:p>
      <w:pPr>
        <w:pStyle w:val="FirstParagraph"/>
      </w:pPr>
      <w:r>
        <w:t xml:space="preserve">The right moment to push for EB access is after the champion’s conviction is established but before the formal evaluation is complete. You want the champion on your side before you ask them to arrange the introduction — but you do not want to wait until the evaluation is over, because then the EB is being asked to rubber-stamp a decision rather than participate in one.</w:t>
      </w:r>
    </w:p>
    <w:p>
      <w:pPr>
        <w:pStyle w:val="BodyText"/>
      </w:pPr>
      <w:r>
        <w:t xml:space="preserve">How to ask the champion:</w:t>
      </w:r>
    </w:p>
    <w:p>
      <w:pPr>
        <w:pStyle w:val="BodyText"/>
      </w:pPr>
      <w:r>
        <w:t xml:space="preserve">“We’ve done good work establishing what this could mean for your team. The next step that would make a real difference is getting ten minutes with [CFO/COO/whoever] — not to pitch them, but to understand what they need to see to be comfortable. Would you be willing to make that introduction?”</w:t>
      </w:r>
    </w:p>
    <w:p>
      <w:pPr>
        <w:pStyle w:val="BodyText"/>
      </w:pPr>
      <w:r>
        <w:t xml:space="preserve">Notice what this is not: it is not</w:t>
      </w:r>
      <w:r>
        <w:t xml:space="preserve"> </w:t>
      </w:r>
      <w:r>
        <w:t xml:space="preserve">“I need to escalate.”</w:t>
      </w:r>
      <w:r>
        <w:t xml:space="preserve"> </w:t>
      </w:r>
      <w:r>
        <w:t xml:space="preserve">It is not</w:t>
      </w:r>
      <w:r>
        <w:t xml:space="preserve"> </w:t>
      </w:r>
      <w:r>
        <w:t xml:space="preserve">“your boss needs to hear this.”</w:t>
      </w:r>
      <w:r>
        <w:t xml:space="preserve"> </w:t>
      </w:r>
      <w:r>
        <w:t xml:space="preserve">It is framing the EB meeting as intelligence-gathering — understanding what the EB needs — rather than as a sales move. This is accurate. The EB meeting is primarily about discovery, not about presenting.</w:t>
      </w:r>
    </w:p>
    <w:p>
      <w:pPr>
        <w:pStyle w:val="BodyText"/>
      </w:pPr>
      <w:r>
        <w:t xml:space="preserve">If the champion refuses to arrange the introduction, this is a diagnostic signal. Either they don’t have the access they implied, or they are not confident enough in your product to put their credibility on the line, or the deal is less advanced than you thought. None of these are reasons to continue investing at the same level.</w:t>
      </w:r>
    </w:p>
    <w:p>
      <w:r>
        <w:pict>
          <v:rect style="width:0;height:1.5pt" o:hralign="center" o:hrstd="t" o:hr="t"/>
        </w:pict>
      </w:r>
    </w:p>
    <w:bookmarkEnd w:id="24"/>
    <w:bookmarkStart w:id="25" w:name="meeting-the-eb-not-a-pitch-a-briefing"/>
    <w:p>
      <w:pPr>
        <w:pStyle w:val="Heading3"/>
      </w:pPr>
      <w:r>
        <w:t xml:space="preserve">Meeting the EB: Not a Pitch, a Briefing</w:t>
      </w:r>
    </w:p>
    <w:p>
      <w:pPr>
        <w:pStyle w:val="FirstParagraph"/>
      </w:pPr>
      <w:r>
        <w:t xml:space="preserve">When you get the meeting with the EB, do not bring a deck. Bring three questions.</w:t>
      </w:r>
    </w:p>
    <w:p>
      <w:pPr>
        <w:pStyle w:val="BodyText"/>
      </w:pPr>
      <w:r>
        <w:t xml:space="preserve">The EB’s time is scarce. They have been in too many vendor pitches. What they respond to is directness, efficiency, and the recognition that you understand their level of concern — which is different from their team’s level of concern.</w:t>
      </w:r>
    </w:p>
    <w:p>
      <w:pPr>
        <w:pStyle w:val="BodyText"/>
      </w:pPr>
      <w:r>
        <w:t xml:space="preserve">The three questions for an EB meeting:</w:t>
      </w:r>
    </w:p>
    <w:p>
      <w:pPr>
        <w:numPr>
          <w:ilvl w:val="0"/>
          <w:numId w:val="1007"/>
        </w:numPr>
      </w:pPr>
      <w:r>
        <w:rPr>
          <w:b/>
          <w:bCs/>
        </w:rPr>
        <w:t xml:space="preserve">“What does success look like for you personally from this initiative?”</w:t>
      </w:r>
      <w:r>
        <w:t xml:space="preserve"> </w:t>
      </w:r>
      <w:r>
        <w:t xml:space="preserve">Not for the team. For them. The EB is accountable. They have a view on what outcome makes the investment worthwhile.</w:t>
      </w:r>
    </w:p>
    <w:p>
      <w:pPr>
        <w:numPr>
          <w:ilvl w:val="0"/>
          <w:numId w:val="1007"/>
        </w:numPr>
      </w:pPr>
      <w:r>
        <w:rPr>
          <w:b/>
          <w:bCs/>
        </w:rPr>
        <w:t xml:space="preserve">“What’s the biggest risk you’d need to see managed before you’re comfortable moving forward?”</w:t>
      </w:r>
      <w:r>
        <w:t xml:space="preserve"> </w:t>
      </w:r>
      <w:r>
        <w:t xml:space="preserve">This surfaces the objection they haven’t stated. EB objections are usually about risk (to the business, to their reputation) rather than about features or price.</w:t>
      </w:r>
    </w:p>
    <w:p>
      <w:pPr>
        <w:numPr>
          <w:ilvl w:val="0"/>
          <w:numId w:val="1007"/>
        </w:numPr>
      </w:pPr>
      <w:r>
        <w:rPr>
          <w:b/>
          <w:bCs/>
        </w:rPr>
        <w:t xml:space="preserve">“What would need to be true for this to be approved in [timeframe]?”</w:t>
      </w:r>
      <w:r>
        <w:t xml:space="preserve"> </w:t>
      </w:r>
      <w:r>
        <w:t xml:space="preserve">This is a direct question about the decision process. A confident EB will answer it. An uncertain one will reveal that they don’t fully control it.</w:t>
      </w:r>
    </w:p>
    <w:p>
      <w:pPr>
        <w:pStyle w:val="FirstParagraph"/>
      </w:pPr>
      <w:r>
        <w:t xml:space="preserve">Your job in this meeting is to listen, not to present. You are gathering the information you need to win. The EB is telling you what they need to say yes — which may be different from what the champion thinks they need.</w:t>
      </w:r>
    </w:p>
    <w:p>
      <w:r>
        <w:pict>
          <v:rect style="width:0;height:1.5pt" o:hralign="center" o:hrstd="t" o:hr="t"/>
        </w:pict>
      </w:r>
    </w:p>
    <w:bookmarkEnd w:id="25"/>
    <w:bookmarkStart w:id="26" w:name="identified-pain"/>
    <w:p>
      <w:pPr>
        <w:pStyle w:val="Heading3"/>
      </w:pPr>
      <w:r>
        <w:t xml:space="preserve">Identified Pain</w:t>
      </w:r>
    </w:p>
    <w:p>
      <w:pPr>
        <w:pStyle w:val="FirstParagraph"/>
      </w:pPr>
      <w:r>
        <w:t xml:space="preserve">Pain has a hierarchy. At the top is business pain: the thing that costs the organisation money, creates risk, or prevents them from achieving a strategic goal. At the bottom is technical pain: the thing that causes operational frustration — slow systems, manual processes, poor tooling.</w:t>
      </w:r>
    </w:p>
    <w:p>
      <w:pPr>
        <w:pStyle w:val="BodyText"/>
      </w:pPr>
      <w:r>
        <w:t xml:space="preserve">You need both, but in the right order. Technical pain is what the champion feels. Business pain is what the EB cares about. A deal that is only articulated in terms of technical pain will stall at the EB, because the EB’s job is to allocate budget to business problems.</w:t>
      </w:r>
    </w:p>
    <w:p>
      <w:pPr>
        <w:pStyle w:val="BodyText"/>
      </w:pPr>
      <w:r>
        <w:t xml:space="preserve">The translation from technical to business pain is the critical step, and it is the one most founders skip or do badly.</w:t>
      </w:r>
    </w:p>
    <w:p>
      <w:pPr>
        <w:pStyle w:val="BodyText"/>
      </w:pPr>
      <w:r>
        <w:rPr>
          <w:b/>
          <w:bCs/>
        </w:rPr>
        <w:t xml:space="preserve">Technical pain (champion):</w:t>
      </w:r>
      <w:r>
        <w:t xml:space="preserve"> </w:t>
      </w:r>
      <w:r>
        <w:t xml:space="preserve">Our data pipeline takes 6 hours to run and requires manual intervention when it fails.</w:t>
      </w:r>
    </w:p>
    <w:p>
      <w:pPr>
        <w:pStyle w:val="BodyText"/>
      </w:pPr>
      <w:r>
        <w:rPr>
          <w:b/>
          <w:bCs/>
        </w:rPr>
        <w:t xml:space="preserve">Business pain (EB):</w:t>
      </w:r>
      <w:r>
        <w:t xml:space="preserve"> </w:t>
      </w:r>
      <w:r>
        <w:t xml:space="preserve">The delay in processing means our weekly trading report is two days old by the time decisions are made on it, which has cost us three incorrect positions in the last year. We’ve estimated this at around £800k in avoidable losses.</w:t>
      </w:r>
    </w:p>
    <w:p>
      <w:pPr>
        <w:pStyle w:val="BodyText"/>
      </w:pPr>
      <w:r>
        <w:t xml:space="preserve">The business pain statement is not invented by the vendor. It is developed in conversation with the champion, using their numbers and their language. The founder’s job is to help the champion translate their operational frustration into a business case that the EB will act on.</w:t>
      </w:r>
    </w:p>
    <w:p>
      <w:pPr>
        <w:pStyle w:val="BodyText"/>
      </w:pPr>
      <w:r>
        <w:t xml:space="preserve">One more thing about pain: it must be confirmed by the EB, not assumed. You may hear the pain clearly from the champion. The EB may not share it — they may have different priorities, a different budget cycle, or a different definition of what constitutes a problem worth fixing. Until the EB has acknowledged the pain in their own words, it is not established.</w:t>
      </w:r>
    </w:p>
    <w:p>
      <w:pPr>
        <w:pStyle w:val="BlockText"/>
      </w:pPr>
      <w:r>
        <w:rPr>
          <w:b/>
          <w:bCs/>
        </w:rPr>
        <w:t xml:space="preserve">Note:</w:t>
      </w:r>
      <w:r>
        <w:t xml:space="preserve"> </w:t>
      </w:r>
      <w:r>
        <w:t xml:space="preserve">The most dangerous position in a deal is having a champion who understands the pain perfectly and an EB who has never been asked about it. You can run a complete evaluation, build a compelling proposal, and hit a wall in the final week when the EB says</w:t>
      </w:r>
      <w:r>
        <w:t xml:space="preserve"> </w:t>
      </w:r>
      <w:r>
        <w:t xml:space="preserve">“we’ve decided to handle this internally for now.”</w:t>
      </w:r>
    </w:p>
    <w:p>
      <w:r>
        <w:pict>
          <v:rect style="width:0;height:1.5pt" o:hralign="center" o:hrstd="t" o:hr="t"/>
        </w:pict>
      </w:r>
    </w:p>
    <w:bookmarkEnd w:id="26"/>
    <w:bookmarkStart w:id="27" w:name="success-criteria"/>
    <w:p>
      <w:pPr>
        <w:pStyle w:val="Heading3"/>
      </w:pPr>
      <w:r>
        <w:t xml:space="preserve">Success Criteria</w:t>
      </w:r>
    </w:p>
    <w:p>
      <w:pPr>
        <w:pStyle w:val="FirstParagraph"/>
      </w:pPr>
      <w:r>
        <w:t xml:space="preserve">Success criteria are the definition of what good looks like — the specific, measurable outcomes that will constitute a win for the evaluation. They matter because:</w:t>
      </w:r>
    </w:p>
    <w:p>
      <w:pPr>
        <w:pStyle w:val="Compact"/>
        <w:numPr>
          <w:ilvl w:val="0"/>
          <w:numId w:val="1008"/>
        </w:numPr>
      </w:pPr>
      <w:r>
        <w:t xml:space="preserve">They give the evaluation a defined end point, rather than drifting indefinitely</w:t>
      </w:r>
    </w:p>
    <w:p>
      <w:pPr>
        <w:pStyle w:val="Compact"/>
        <w:numPr>
          <w:ilvl w:val="0"/>
          <w:numId w:val="1008"/>
        </w:numPr>
      </w:pPr>
      <w:r>
        <w:t xml:space="preserve">They give the champion something concrete to present to the EB</w:t>
      </w:r>
    </w:p>
    <w:p>
      <w:pPr>
        <w:pStyle w:val="Compact"/>
        <w:numPr>
          <w:ilvl w:val="0"/>
          <w:numId w:val="1008"/>
        </w:numPr>
      </w:pPr>
      <w:r>
        <w:t xml:space="preserve">They give you a basis for demonstrating value during a pilot or proof of concept</w:t>
      </w:r>
    </w:p>
    <w:p>
      <w:pPr>
        <w:pStyle w:val="Compact"/>
        <w:numPr>
          <w:ilvl w:val="0"/>
          <w:numId w:val="1008"/>
        </w:numPr>
      </w:pPr>
      <w:r>
        <w:t xml:space="preserve">They make the decision binary: you either meet them or you don’t</w:t>
      </w:r>
    </w:p>
    <w:p>
      <w:pPr>
        <w:pStyle w:val="FirstParagraph"/>
      </w:pPr>
      <w:r>
        <w:t xml:space="preserve">The error is to allow success criteria to remain vague.</w:t>
      </w:r>
      <w:r>
        <w:t xml:space="preserve"> </w:t>
      </w:r>
      <w:r>
        <w:t xml:space="preserve">“We’d like to see that it works with our data”</w:t>
      </w:r>
      <w:r>
        <w:t xml:space="preserve"> </w:t>
      </w:r>
      <w:r>
        <w:t xml:space="preserve">is not a success criterion.</w:t>
      </w:r>
      <w:r>
        <w:t xml:space="preserve"> </w:t>
      </w:r>
      <w:r>
        <w:t xml:space="preserve">“We’d like to see it process our full quarterly data set with 99.5% accuracy and produce the output report in under 4 hours”</w:t>
      </w:r>
      <w:r>
        <w:t xml:space="preserve"> </w:t>
      </w:r>
      <w:r>
        <w:t xml:space="preserve">is a success criterion.</w:t>
      </w:r>
    </w:p>
    <w:p>
      <w:pPr>
        <w:pStyle w:val="BodyText"/>
      </w:pPr>
      <w:r>
        <w:t xml:space="preserve">The establishment of success criteria is also the moment when you learn whether the deal is real. A prospect who refuses to define what success looks like — who says</w:t>
      </w:r>
      <w:r>
        <w:t xml:space="preserve"> </w:t>
      </w:r>
      <w:r>
        <w:t xml:space="preserve">“we’ll know it when we see it”</w:t>
      </w:r>
      <w:r>
        <w:t xml:space="preserve"> </w:t>
      </w:r>
      <w:r>
        <w:t xml:space="preserve">— is not ready to buy. A real evaluation with a real budget and a real timeline will have concrete success criteria, because the internal approval process demands them.</w:t>
      </w:r>
    </w:p>
    <w:p>
      <w:pPr>
        <w:pStyle w:val="BodyText"/>
      </w:pPr>
      <w:r>
        <w:t xml:space="preserve">Push for precision:</w:t>
      </w:r>
      <w:r>
        <w:t xml:space="preserve"> </w:t>
      </w:r>
      <w:r>
        <w:t xml:space="preserve">“If we met all of these criteria at the end of the pilot, would you be in a position to move forward? What else would need to be true?”</w:t>
      </w:r>
    </w:p>
    <w:p>
      <w:r>
        <w:pict>
          <v:rect style="width:0;height:1.5pt" o:hralign="center" o:hrstd="t" o:hr="t"/>
        </w:pict>
      </w:r>
    </w:p>
    <w:bookmarkEnd w:id="27"/>
    <w:bookmarkStart w:id="28" w:name="the-next-action"/>
    <w:p>
      <w:pPr>
        <w:pStyle w:val="Heading3"/>
      </w:pPr>
      <w:r>
        <w:t xml:space="preserve">The Next Action</w:t>
      </w:r>
    </w:p>
    <w:p>
      <w:pPr>
        <w:pStyle w:val="FirstParagraph"/>
      </w:pPr>
      <w:r>
        <w:t xml:space="preserve">The next action is the most consistently underused tool in enterprise sales. Every conversation ends with something, but not every ending is equal.</w:t>
      </w:r>
    </w:p>
    <w:p>
      <w:pPr>
        <w:pStyle w:val="BodyText"/>
      </w:pPr>
      <w:r>
        <w:t xml:space="preserve">A real next action has three components:</w:t>
      </w:r>
    </w:p>
    <w:p>
      <w:pPr>
        <w:pStyle w:val="Compact"/>
        <w:numPr>
          <w:ilvl w:val="0"/>
          <w:numId w:val="1009"/>
        </w:numPr>
      </w:pPr>
      <w:r>
        <w:rPr>
          <w:b/>
          <w:bCs/>
        </w:rPr>
        <w:t xml:space="preserve">Specificity</w:t>
      </w:r>
      <w:r>
        <w:t xml:space="preserve"> </w:t>
      </w:r>
      <w:r>
        <w:t xml:space="preserve">— what exactly is happening</w:t>
      </w:r>
    </w:p>
    <w:p>
      <w:pPr>
        <w:pStyle w:val="Compact"/>
        <w:numPr>
          <w:ilvl w:val="0"/>
          <w:numId w:val="1009"/>
        </w:numPr>
      </w:pPr>
      <w:r>
        <w:rPr>
          <w:b/>
          <w:bCs/>
        </w:rPr>
        <w:t xml:space="preserve">Ownership</w:t>
      </w:r>
      <w:r>
        <w:t xml:space="preserve"> </w:t>
      </w:r>
      <w:r>
        <w:t xml:space="preserve">— who is doing it (them or you)</w:t>
      </w:r>
    </w:p>
    <w:p>
      <w:pPr>
        <w:pStyle w:val="Compact"/>
        <w:numPr>
          <w:ilvl w:val="0"/>
          <w:numId w:val="1009"/>
        </w:numPr>
      </w:pPr>
      <w:r>
        <w:rPr>
          <w:b/>
          <w:bCs/>
        </w:rPr>
        <w:t xml:space="preserve">Date</w:t>
      </w:r>
      <w:r>
        <w:t xml:space="preserve"> </w:t>
      </w:r>
      <w:r>
        <w:t xml:space="preserve">— when it will be done, not when it might happen</w:t>
      </w:r>
    </w:p>
    <w:p>
      <w:pPr>
        <w:pStyle w:val="FirstParagraph"/>
      </w:pPr>
      <w:r>
        <w:t xml:space="preserve">“I’ll send you some information and we can talk after you’ve had a chance to review”</w:t>
      </w:r>
      <w:r>
        <w:t xml:space="preserve"> </w:t>
      </w:r>
      <w:r>
        <w:t xml:space="preserve">is not a next action. It is an excuse to end the conversation without commitment.</w:t>
      </w:r>
    </w:p>
    <w:p>
      <w:pPr>
        <w:pStyle w:val="BodyText"/>
      </w:pPr>
      <w:r>
        <w:t xml:space="preserve">“I’ll send you the data sheet by Thursday. Can you have a look and we’ll speak the following Tuesday at 2pm to go through your questions?”</w:t>
      </w:r>
      <w:r>
        <w:t xml:space="preserve"> </w:t>
      </w:r>
      <w:r>
        <w:t xml:space="preserve">is a next action.</w:t>
      </w:r>
    </w:p>
    <w:p>
      <w:pPr>
        <w:pStyle w:val="BodyText"/>
      </w:pPr>
      <w:r>
        <w:t xml:space="preserve">The next action should also be linked to the buying process — it should move the deal forward, not just keep the relationship alive.</w:t>
      </w:r>
      <w:r>
        <w:t xml:space="preserve"> </w:t>
      </w:r>
      <w:r>
        <w:t xml:space="preserve">“Let’s have another call to stay in touch”</w:t>
      </w:r>
      <w:r>
        <w:t xml:space="preserve"> </w:t>
      </w:r>
      <w:r>
        <w:t xml:space="preserve">is a next action that serves the vendor, not the deal.</w:t>
      </w:r>
      <w:r>
        <w:t xml:space="preserve"> </w:t>
      </w:r>
      <w:r>
        <w:t xml:space="preserve">“I’ll connect you with our CTO for a technical deep dive before you finalise the evaluation criteria”</w:t>
      </w:r>
      <w:r>
        <w:t xml:space="preserve"> </w:t>
      </w:r>
      <w:r>
        <w:t xml:space="preserve">is a next action that serves the deal.</w:t>
      </w:r>
    </w:p>
    <w:p>
      <w:pPr>
        <w:pStyle w:val="BodyText"/>
      </w:pPr>
      <w:r>
        <w:t xml:space="preserve">A deal without a live, agreed next action is not a deal. It is a conversation that has paused.</w:t>
      </w:r>
    </w:p>
    <w:p>
      <w:pPr>
        <w:pStyle w:val="BlockText"/>
      </w:pPr>
      <w:r>
        <w:rPr>
          <w:b/>
          <w:bCs/>
        </w:rPr>
        <w:t xml:space="preserve">Sidebar: Sun Tzu and Alexander</w:t>
      </w:r>
    </w:p>
    <w:p>
      <w:pPr>
        <w:pStyle w:val="BlockText"/>
      </w:pPr>
      <w:r>
        <w:t xml:space="preserve">Sun Tzu wrote:</w:t>
      </w:r>
      <w:r>
        <w:t xml:space="preserve"> </w:t>
      </w:r>
      <w:r>
        <w:t xml:space="preserve">“Every battle is won before it is fought.”</w:t>
      </w:r>
      <w:r>
        <w:t xml:space="preserve"> </w:t>
      </w:r>
      <w:r>
        <w:t xml:space="preserve">In the context of an EB meeting, this means: you should know before you walk in who the EB is, what they care about, what the objections are likely to be, and what a successful outcome looks like. The champion is your intelligence source. A meeting for which you are not prepared is a meeting you have already lost.</w:t>
      </w:r>
    </w:p>
    <w:p>
      <w:pPr>
        <w:pStyle w:val="BlockText"/>
      </w:pPr>
      <w:r>
        <w:t xml:space="preserve">Alexander the Great never fought through proxies where he could fight directly. He made personal contact with opposing generals, decision-makers, and city leaders rather than sending intermediaries. In modern sales: the founder who meets the EB personally will almost always outsell the one who sends a sales rep or relies on a champion to carry the message.</w:t>
      </w:r>
    </w:p>
    <w:p>
      <w:r>
        <w:pict>
          <v:rect style="width:0;height:1.5pt" o:hralign="center" o:hrstd="t" o:hr="t"/>
        </w:pict>
      </w:r>
    </w:p>
    <w:bookmarkEnd w:id="28"/>
    <w:bookmarkEnd w:id="29"/>
    <w:bookmarkStart w:id="36" w:name="chapter-3"/>
    <w:p>
      <w:pPr>
        <w:pStyle w:val="Heading2"/>
      </w:pPr>
      <w:r>
        <w:t xml:space="preserve">Chapter 3 — The Expansion Imperative</w:t>
      </w:r>
    </w:p>
    <w:p>
      <w:pPr>
        <w:pStyle w:val="BlockText"/>
      </w:pPr>
      <w:r>
        <w:rPr>
          <w:i/>
          <w:iCs/>
        </w:rPr>
        <w:t xml:space="preserve">“The man who starts out simply with the idea of getting rich won’t succeed; you must have a larger ambition.”</w:t>
      </w:r>
    </w:p>
    <w:p>
      <w:pPr>
        <w:pStyle w:val="BlockText"/>
      </w:pPr>
      <w:r>
        <w:t xml:space="preserve">— John D. Rockefeller</w:t>
      </w:r>
    </w:p>
    <w:tbl>
      <w:tblPr>
        <w:tblStyle w:val="FigureTable"/>
        <w:tblW w:type="auto" w:w="0"/>
        <w:jc w:val="center"/>
        <w:tblLook w:firstRow="0" w:lastRow="0" w:firstColumn="0" w:lastColumn="0"/>
      </w:tblPr>
      <w:tblGrid>
        <w:gridCol w:w="7920"/>
      </w:tblGrid>
      <w:tr>
        <w:tc>
          <w:tcPr/>
          <w:p>
            <w:pPr>
              <w:pStyle w:val="Compact"/>
              <w:jc w:val="center"/>
            </w:pPr>
            <w:r>
              <w:t xml:space="preserve">Figure 3.1: Standard Oil pipeline map of the United States, circa 1882</w:t>
            </w:r>
          </w:p>
        </w:tc>
      </w:tr>
    </w:tbl>
    <w:p>
      <w:pPr>
        <w:pStyle w:val="ImageCaption"/>
      </w:pPr>
      <w:r>
        <w:t xml:space="preserve">Figure 3.1: Standard Oil pipeline map of the United States, circa 1882</w:t>
      </w:r>
    </w:p>
    <w:p>
      <w:pPr>
        <w:pStyle w:val="BodyText"/>
      </w:pPr>
      <w:r>
        <w:rPr>
          <w:i/>
          <w:iCs/>
        </w:rPr>
        <w:t xml:space="preserve">The Standard Oil pipeline network by 1882. Each line represents a deal Rockefeller had already planned before the preceding deal was closed. The beachhead was never the destination; it was the entry point.</w:t>
      </w:r>
    </w:p>
    <w:p>
      <w:r>
        <w:pict>
          <v:rect style="width:0;height:1.5pt" o:hralign="center" o:hrstd="t" o:hr="t"/>
        </w:pict>
      </w:r>
    </w:p>
    <w:bookmarkStart w:id="30" w:name="the-beachhead-is-not-the-business"/>
    <w:p>
      <w:pPr>
        <w:pStyle w:val="Heading3"/>
      </w:pPr>
      <w:r>
        <w:t xml:space="preserve">The Beachhead Is Not the Business</w:t>
      </w:r>
    </w:p>
    <w:p>
      <w:pPr>
        <w:pStyle w:val="FirstParagraph"/>
      </w:pPr>
      <w:r>
        <w:t xml:space="preserve">Rockefeller did not build Standard Oil by selling a lot of oil. He built it by controlling every point at which oil moved — the refineries, yes, but also the pipelines, the rail freight arrangements, the storage facilities, the retail distribution network. Each position he acquired was leverage for the next.</w:t>
      </w:r>
    </w:p>
    <w:p>
      <w:pPr>
        <w:pStyle w:val="BodyText"/>
      </w:pPr>
      <w:r>
        <w:t xml:space="preserve">His genius was not the first deal. His genius was seeing, from within the first deal, exactly where the next leverage point was and moving towards it while the ink was still wet on the current agreement.</w:t>
      </w:r>
    </w:p>
    <w:p>
      <w:pPr>
        <w:pStyle w:val="BodyText"/>
      </w:pPr>
      <w:r>
        <w:t xml:space="preserve">Most founders celebrate the first enterprise close. This is understandable. The first enterprise close is hard. But the celebration should be brief, because what you have at that moment is a beachhead, not a business. A single enterprise customer who churns at renewal is not a business. A pattern of enterprise customers who expand, who refer, and who become the reference point for the next deal — that is a business.</w:t>
      </w:r>
    </w:p>
    <w:p>
      <w:pPr>
        <w:pStyle w:val="BodyText"/>
      </w:pPr>
      <w:r>
        <w:t xml:space="preserve">Expansion is not a product problem. It is a sales problem. And it is a problem you must start solving before you close the first deal.</w:t>
      </w:r>
    </w:p>
    <w:p>
      <w:r>
        <w:pict>
          <v:rect style="width:0;height:1.5pt" o:hralign="center" o:hrstd="t" o:hr="t"/>
        </w:pict>
      </w:r>
    </w:p>
    <w:bookmarkEnd w:id="30"/>
    <w:bookmarkStart w:id="31" w:name="why-expansion-is-a-separate-sale"/>
    <w:p>
      <w:pPr>
        <w:pStyle w:val="Heading3"/>
      </w:pPr>
      <w:r>
        <w:t xml:space="preserve">Why Expansion Is a Separate Sale</w:t>
      </w:r>
    </w:p>
    <w:p>
      <w:pPr>
        <w:pStyle w:val="FirstParagraph"/>
      </w:pPr>
      <w:r>
        <w:t xml:space="preserve">The most common mistake founders make after a successful first deployment is assuming that good results will automatically lead to expansion. They do not.</w:t>
      </w:r>
    </w:p>
    <w:p>
      <w:pPr>
        <w:pStyle w:val="BodyText"/>
      </w:pPr>
      <w:r>
        <w:t xml:space="preserve">Expansion is a separate sale because:</w:t>
      </w:r>
    </w:p>
    <w:p>
      <w:pPr>
        <w:pStyle w:val="Compact"/>
        <w:numPr>
          <w:ilvl w:val="0"/>
          <w:numId w:val="1010"/>
        </w:numPr>
      </w:pPr>
      <w:r>
        <w:t xml:space="preserve">The expansion buyer is often different from the initial buyer. The first deal may have been approved by a department head. The expansion to the next three departments needs the COO or CFO.</w:t>
      </w:r>
    </w:p>
    <w:p>
      <w:pPr>
        <w:pStyle w:val="Compact"/>
        <w:numPr>
          <w:ilvl w:val="0"/>
          <w:numId w:val="1010"/>
        </w:numPr>
      </w:pPr>
      <w:r>
        <w:t xml:space="preserve">The business case is different. The first deal was evaluated on its merits for the specific problem it solved. The expansion needs a business case for the larger investment, often at a different return threshold.</w:t>
      </w:r>
    </w:p>
    <w:p>
      <w:pPr>
        <w:pStyle w:val="Compact"/>
        <w:numPr>
          <w:ilvl w:val="0"/>
          <w:numId w:val="1010"/>
        </w:numPr>
      </w:pPr>
      <w:r>
        <w:t xml:space="preserve">The internal competition for budget at expansion scale is different. You are no longer competing against</w:t>
      </w:r>
      <w:r>
        <w:t xml:space="preserve"> </w:t>
      </w:r>
      <w:r>
        <w:t xml:space="preserve">“do nothing.”</w:t>
      </w:r>
      <w:r>
        <w:t xml:space="preserve"> </w:t>
      </w:r>
      <w:r>
        <w:t xml:space="preserve">You are competing against every other initiative that has already proven itself and is also asking for more budget.</w:t>
      </w:r>
    </w:p>
    <w:p>
      <w:pPr>
        <w:pStyle w:val="Compact"/>
        <w:numPr>
          <w:ilvl w:val="0"/>
          <w:numId w:val="1010"/>
        </w:numPr>
      </w:pPr>
      <w:r>
        <w:t xml:space="preserve">The buying process is longer. A £20k initial deal may have had a short approval process. A £200k expansion will not.</w:t>
      </w:r>
    </w:p>
    <w:p>
      <w:pPr>
        <w:pStyle w:val="FirstParagraph"/>
      </w:pPr>
      <w:r>
        <w:t xml:space="preserve">This is counterintuitive. The customer already uses your product. They have evidence that it works. Surely the second deal is easier than the first?</w:t>
      </w:r>
    </w:p>
    <w:p>
      <w:pPr>
        <w:pStyle w:val="BodyText"/>
      </w:pPr>
      <w:r>
        <w:t xml:space="preserve">In some cases it is easier — but the sales process is not shorter, the buyer is not more relaxed, and the budget still has to come from somewhere. The founder who assumes the expansion will happen naturally will be surprised by how much work it requires.</w:t>
      </w:r>
    </w:p>
    <w:p>
      <w:r>
        <w:pict>
          <v:rect style="width:0;height:1.5pt" o:hralign="center" o:hrstd="t" o:hr="t"/>
        </w:pict>
      </w:r>
    </w:p>
    <w:bookmarkEnd w:id="31"/>
    <w:bookmarkStart w:id="32" w:name="why-expansion-stalls"/>
    <w:p>
      <w:pPr>
        <w:pStyle w:val="Heading3"/>
      </w:pPr>
      <w:r>
        <w:t xml:space="preserve">Why Expansion Stalls</w:t>
      </w:r>
    </w:p>
    <w:p>
      <w:pPr>
        <w:pStyle w:val="FirstParagraph"/>
      </w:pPr>
      <w:r>
        <w:t xml:space="preserve">Three things cause expansion to stall, and they are almost always present simultaneously:</w:t>
      </w:r>
    </w:p>
    <w:p>
      <w:pPr>
        <w:pStyle w:val="BodyText"/>
      </w:pPr>
      <w:r>
        <w:rPr>
          <w:b/>
          <w:bCs/>
        </w:rPr>
        <w:t xml:space="preserve">Wrong EB.</w:t>
      </w:r>
      <w:r>
        <w:t xml:space="preserve"> </w:t>
      </w:r>
      <w:r>
        <w:t xml:space="preserve">The expansion requires a budget holder you have not met. The original EB’s budget can approve the initial deal but not the expansion, and the higher EB has heard about your product only secondhand.</w:t>
      </w:r>
    </w:p>
    <w:p>
      <w:pPr>
        <w:pStyle w:val="BodyText"/>
      </w:pPr>
      <w:r>
        <w:rPr>
          <w:b/>
          <w:bCs/>
        </w:rPr>
        <w:t xml:space="preserve">No business case.</w:t>
      </w:r>
      <w:r>
        <w:t xml:space="preserve"> </w:t>
      </w:r>
      <w:r>
        <w:t xml:space="preserve">The first deal’s success was demonstrated operationally — the team uses it, they like it, it works. But nobody has built the commercial case for what the next phase is worth.</w:t>
      </w:r>
      <w:r>
        <w:t xml:space="preserve"> </w:t>
      </w:r>
      <w:r>
        <w:t xml:space="preserve">“It’s working well”</w:t>
      </w:r>
      <w:r>
        <w:t xml:space="preserve"> </w:t>
      </w:r>
      <w:r>
        <w:t xml:space="preserve">is not a business case for doubling the investment.</w:t>
      </w:r>
    </w:p>
    <w:p>
      <w:pPr>
        <w:pStyle w:val="BodyText"/>
      </w:pPr>
      <w:r>
        <w:rPr>
          <w:b/>
          <w:bCs/>
        </w:rPr>
        <w:t xml:space="preserve">Nobody owns it.</w:t>
      </w:r>
      <w:r>
        <w:t xml:space="preserve"> </w:t>
      </w:r>
      <w:r>
        <w:t xml:space="preserve">The internal champion who drove the first deal is often not the right person to drive the expansion. They have delivered their project; now they move to the next priority. Unless someone inside the customer organisation is accountable for the expansion, it will drift indefinitely.</w:t>
      </w:r>
    </w:p>
    <w:p>
      <w:pPr>
        <w:pStyle w:val="BodyText"/>
      </w:pPr>
      <w:r>
        <w:t xml:space="preserve">The solution to all three is to have the expansion conversation before you close the initial deal — while the buyer’s excitement is high and the deal is live.</w:t>
      </w:r>
    </w:p>
    <w:p>
      <w:r>
        <w:pict>
          <v:rect style="width:0;height:1.5pt" o:hralign="center" o:hrstd="t" o:hr="t"/>
        </w:pict>
      </w:r>
    </w:p>
    <w:bookmarkEnd w:id="32"/>
    <w:bookmarkStart w:id="33" w:name="the-three-questions-to-answer-at-close"/>
    <w:p>
      <w:pPr>
        <w:pStyle w:val="Heading3"/>
      </w:pPr>
      <w:r>
        <w:t xml:space="preserve">The Three Questions to Answer at Close</w:t>
      </w:r>
    </w:p>
    <w:p>
      <w:pPr>
        <w:pStyle w:val="FirstParagraph"/>
      </w:pPr>
      <w:r>
        <w:t xml:space="preserve">Before you close the first deal, you need answers to three questions. These are not post-sale questions. They are part of the negotiation.</w:t>
      </w:r>
    </w:p>
    <w:p>
      <w:pPr>
        <w:pStyle w:val="BodyText"/>
      </w:pPr>
      <w:r>
        <w:rPr>
          <w:b/>
          <w:bCs/>
        </w:rPr>
        <w:t xml:space="preserve">1. What does 10× look like?</w:t>
      </w:r>
    </w:p>
    <w:p>
      <w:pPr>
        <w:pStyle w:val="BodyText"/>
      </w:pPr>
      <w:r>
        <w:t xml:space="preserve">What would it mean if this deployment worked perfectly and the customer decided to extend it across the full organisation? What departments? What use cases? What would the commercial value be? This conversation does two things: it gets the customer thinking expansively (which builds ambition), and it gives you the intelligence you need to plan the expansion sale.</w:t>
      </w:r>
    </w:p>
    <w:p>
      <w:pPr>
        <w:pStyle w:val="BodyText"/>
      </w:pPr>
      <w:r>
        <w:rPr>
          <w:b/>
          <w:bCs/>
        </w:rPr>
        <w:t xml:space="preserve">2. Who signs it?</w:t>
      </w:r>
    </w:p>
    <w:p>
      <w:pPr>
        <w:pStyle w:val="BodyText"/>
      </w:pPr>
      <w:r>
        <w:t xml:space="preserve">If the expansion deal is three times the size of the initial deal, who needs to approve it? Is it still the same EB, or does it need to go to someone more senior? If it needs to go to someone more senior, have you met them?</w:t>
      </w:r>
    </w:p>
    <w:p>
      <w:pPr>
        <w:pStyle w:val="BodyText"/>
      </w:pPr>
      <w:r>
        <w:rPr>
          <w:b/>
          <w:bCs/>
        </w:rPr>
        <w:t xml:space="preserve">3. Have we met them?</w:t>
      </w:r>
    </w:p>
    <w:p>
      <w:pPr>
        <w:pStyle w:val="BodyText"/>
      </w:pPr>
      <w:r>
        <w:t xml:space="preserve">This is the most important question, and the most often ignored. If the expansion requires a CFO who has never heard of you, you have a relationship gap that will cost you months. The time to close that gap is during the initial implementation, when you are in the building, when your champion has credibility, and when the success story is fresh.</w:t>
      </w:r>
    </w:p>
    <w:p>
      <w:r>
        <w:pict>
          <v:rect style="width:0;height:1.5pt" o:hralign="center" o:hrstd="t" o:hr="t"/>
        </w:pict>
      </w:r>
    </w:p>
    <w:bookmarkEnd w:id="33"/>
    <w:bookmarkStart w:id="34" w:name="the-expansion-eb"/>
    <w:p>
      <w:pPr>
        <w:pStyle w:val="Heading3"/>
      </w:pPr>
      <w:r>
        <w:t xml:space="preserve">The Expansion EB</w:t>
      </w:r>
    </w:p>
    <w:p>
      <w:pPr>
        <w:pStyle w:val="FirstParagraph"/>
      </w:pPr>
      <w:r>
        <w:t xml:space="preserve">The expansion EB is the person who controls the budget at the scale of the expanded deal. They are not always more senior than the initial EB — it depends on the organisation — but they are almost always different.</w:t>
      </w:r>
    </w:p>
    <w:p>
      <w:pPr>
        <w:pStyle w:val="BodyText"/>
      </w:pPr>
      <w:r>
        <w:t xml:space="preserve">How to identify them: Ask your champion.</w:t>
      </w:r>
      <w:r>
        <w:t xml:space="preserve"> </w:t>
      </w:r>
      <w:r>
        <w:t xml:space="preserve">“If this goes brilliantly and we want to roll it out to the whole organisation next year — who makes that call?”</w:t>
      </w:r>
      <w:r>
        <w:t xml:space="preserve"> </w:t>
      </w:r>
      <w:r>
        <w:t xml:space="preserve">Most champions know the answer. They will either name the person directly or describe the process.</w:t>
      </w:r>
    </w:p>
    <w:p>
      <w:pPr>
        <w:pStyle w:val="BodyText"/>
      </w:pPr>
      <w:r>
        <w:t xml:space="preserve">How to get introduced during the pilot: Frame the introduction as a progress briefing.</w:t>
      </w:r>
      <w:r>
        <w:t xml:space="preserve"> </w:t>
      </w:r>
      <w:r>
        <w:t xml:space="preserve">“We’re four weeks into the pilot and the early results are good. It would be valuable to give [name] a brief update — not a sales conversation, just a five-minute heads up on where things stand.”</w:t>
      </w:r>
      <w:r>
        <w:t xml:space="preserve"> </w:t>
      </w:r>
      <w:r>
        <w:t xml:space="preserve">Executives generally appreciate being kept informed. A champion who won’t arrange this introduction either doesn’t have the relationship or isn’t confident enough in the results.</w:t>
      </w:r>
    </w:p>
    <w:p>
      <w:pPr>
        <w:pStyle w:val="BodyText"/>
      </w:pPr>
      <w:r>
        <w:t xml:space="preserve">What to say when you meet them: Don’t sell. Update.</w:t>
      </w:r>
      <w:r>
        <w:t xml:space="preserve"> </w:t>
      </w:r>
      <w:r>
        <w:t xml:space="preserve">“The pilot is going well. We’ve seen [specific outcome] in the first month. Our hypothesis is that if this extends to [other departments], the total impact would be [specific number]. We’d want to do that in a way that makes sense for you — what would you need to see before that conversation makes sense?”</w:t>
      </w:r>
    </w:p>
    <w:p>
      <w:r>
        <w:pict>
          <v:rect style="width:0;height:1.5pt" o:hralign="center" o:hrstd="t" o:hr="t"/>
        </w:pict>
      </w:r>
    </w:p>
    <w:bookmarkEnd w:id="34"/>
    <w:bookmarkStart w:id="35" w:name="Xeeda21b9844885286491883c03fd928e9da935e"/>
    <w:p>
      <w:pPr>
        <w:pStyle w:val="Heading3"/>
      </w:pPr>
      <w:r>
        <w:t xml:space="preserve">The 30/60/90 Day Check-in as Sales Infrastructure</w:t>
      </w:r>
    </w:p>
    <w:p>
      <w:pPr>
        <w:pStyle w:val="FirstParagraph"/>
      </w:pPr>
      <w:r>
        <w:t xml:space="preserve">Most founders do customer success check-ins because they care about the customer’s success. This is admirable. But the 30/60/90 day check-in should also be understood as the expansion sales process in disguise.</w:t>
      </w:r>
    </w:p>
    <w:p>
      <w:pPr>
        <w:pStyle w:val="BodyText"/>
      </w:pPr>
      <w:r>
        <w:rPr>
          <w:b/>
          <w:bCs/>
        </w:rPr>
        <w:t xml:space="preserve">30-day check-in:</w:t>
      </w:r>
      <w:r>
        <w:t xml:space="preserve"> </w:t>
      </w:r>
      <w:r>
        <w:t xml:space="preserve">Operational success. Is the integration working? Are the users using it? Is there any friction that needs to be resolved? The agenda is health, but the intelligence you are gathering is: which teams would benefit from this? Who has expressed interest? Are there adjacent problems visible?</w:t>
      </w:r>
    </w:p>
    <w:p>
      <w:pPr>
        <w:pStyle w:val="BodyText"/>
      </w:pPr>
      <w:r>
        <w:rPr>
          <w:b/>
          <w:bCs/>
        </w:rPr>
        <w:t xml:space="preserve">60-day check-in:</w:t>
      </w:r>
      <w:r>
        <w:t xml:space="preserve"> </w:t>
      </w:r>
      <w:r>
        <w:t xml:space="preserve">Business outcomes. Do you have preliminary data on the value being delivered? Can you start to build the business case for expansion? This is the moment to have the</w:t>
      </w:r>
      <w:r>
        <w:t xml:space="preserve"> </w:t>
      </w:r>
      <w:r>
        <w:t xml:space="preserve">“what does success look like at scale?”</w:t>
      </w:r>
      <w:r>
        <w:t xml:space="preserve"> </w:t>
      </w:r>
      <w:r>
        <w:t xml:space="preserve">conversation, because there is now real data to anchor it.</w:t>
      </w:r>
    </w:p>
    <w:p>
      <w:pPr>
        <w:pStyle w:val="BodyText"/>
      </w:pPr>
      <w:r>
        <w:rPr>
          <w:b/>
          <w:bCs/>
        </w:rPr>
        <w:t xml:space="preserve">90-day check-in:</w:t>
      </w:r>
      <w:r>
        <w:t xml:space="preserve"> </w:t>
      </w:r>
      <w:r>
        <w:t xml:space="preserve">Expansion readiness. At this point, if the pilot is working, you should be having an explicit conversation about what comes next. Who is the right EB for that conversation? What does the timeline look like? What would need to be true for the expansion to be approved in the next quarter?</w:t>
      </w:r>
    </w:p>
    <w:p>
      <w:pPr>
        <w:pStyle w:val="BodyText"/>
      </w:pPr>
      <w:r>
        <w:t xml:space="preserve">The check-in is not a checkpoint. It is a meeting with a sales objective — even when the nominal objective is customer success. Both can be true simultaneously.</w:t>
      </w:r>
    </w:p>
    <w:p>
      <w:pPr>
        <w:pStyle w:val="BlockText"/>
      </w:pPr>
      <w:r>
        <w:rPr>
          <w:b/>
          <w:bCs/>
        </w:rPr>
        <w:t xml:space="preserve">Sidebar: Caesar and Darwin</w:t>
      </w:r>
    </w:p>
    <w:p>
      <w:pPr>
        <w:pStyle w:val="BlockText"/>
      </w:pPr>
      <w:r>
        <w:t xml:space="preserve">Julius Caesar’s Gallic Wars were not a series of independent conquests. Each victory created the logistical and political position for the next. The supply lines he established across Gaul were not just military infrastructure — they were the mechanism by which Roman governance replaced military occupation. He was building permanent presence from within temporary success.</w:t>
      </w:r>
    </w:p>
    <w:p>
      <w:pPr>
        <w:pStyle w:val="BlockText"/>
      </w:pPr>
      <w:r>
        <w:t xml:space="preserve">Darwin’s observation that species which adapt to new environments survive — while those which over-specialise in a single niche are vulnerable — applies directly to the founder who closes one enterprise deal and builds the entire company around that one customer’s requirements. Diversify the customer base. Build product capabilities that serve the expansion EB, not just the initial buyer. The beachhead is not the destination.</w:t>
      </w:r>
    </w:p>
    <w:p>
      <w:r>
        <w:pict>
          <v:rect style="width:0;height:1.5pt" o:hralign="center" o:hrstd="t" o:hr="t"/>
        </w:pict>
      </w:r>
    </w:p>
    <w:bookmarkEnd w:id="35"/>
    <w:bookmarkEnd w:id="36"/>
    <w:bookmarkStart w:id="43" w:name="chapter-4"/>
    <w:p>
      <w:pPr>
        <w:pStyle w:val="Heading2"/>
      </w:pPr>
      <w:r>
        <w:t xml:space="preserve">Chapter 4 — The Qualification Checklist</w:t>
      </w:r>
    </w:p>
    <w:p>
      <w:pPr>
        <w:pStyle w:val="BlockText"/>
      </w:pPr>
      <w:r>
        <w:rPr>
          <w:i/>
          <w:iCs/>
        </w:rPr>
        <w:t xml:space="preserve">“When you have eliminated all which is impossible, then whatever remains, however improbable, must be the truth.”</w:t>
      </w:r>
    </w:p>
    <w:p>
      <w:pPr>
        <w:pStyle w:val="BlockText"/>
      </w:pPr>
      <w:r>
        <w:t xml:space="preserve">— Sherlock Holmes,</w:t>
      </w:r>
      <w:r>
        <w:t xml:space="preserve"> </w:t>
      </w:r>
      <w:r>
        <w:rPr>
          <w:i/>
          <w:iCs/>
        </w:rPr>
        <w:t xml:space="preserve">The Adventure of the Blanched Soldier</w:t>
      </w:r>
    </w:p>
    <w:tbl>
      <w:tblPr>
        <w:tblStyle w:val="FigureTable"/>
        <w:tblW w:type="auto" w:w="0"/>
        <w:jc w:val="center"/>
        <w:tblLook w:firstRow="0" w:lastRow="0" w:firstColumn="0" w:lastColumn="0"/>
      </w:tblPr>
      <w:tblGrid>
        <w:gridCol w:w="7920"/>
      </w:tblGrid>
      <w:tr>
        <w:tc>
          <w:tcPr/>
          <w:p>
            <w:pPr>
              <w:pStyle w:val="Compact"/>
              <w:jc w:val="center"/>
            </w:pPr>
            <w:r>
              <w:t xml:space="preserve">Figure 4.1: Sherlock Holmes examining evidence at his Baker Street desk</w:t>
            </w:r>
          </w:p>
        </w:tc>
      </w:tr>
    </w:tbl>
    <w:p>
      <w:pPr>
        <w:pStyle w:val="ImageCaption"/>
      </w:pPr>
      <w:r>
        <w:t xml:space="preserve">Figure 4.1: Sherlock Holmes examining evidence at his Baker Street desk</w:t>
      </w:r>
    </w:p>
    <w:p>
      <w:pPr>
        <w:pStyle w:val="BodyText"/>
      </w:pPr>
      <w:r>
        <w:rPr>
          <w:i/>
          <w:iCs/>
        </w:rPr>
        <w:t xml:space="preserve">Holmes with the evidence arranged. Every item on the table is a known. The diagnosis follows from the knowns, not from instinct. MEDDPICC is the enterprise sales equivalent of the detective’s table — what you know, what you don’t know, and what the gap between them tells you.</w:t>
      </w:r>
    </w:p>
    <w:p>
      <w:r>
        <w:pict>
          <v:rect style="width:0;height:1.5pt" o:hralign="center" o:hrstd="t" o:hr="t"/>
        </w:pict>
      </w:r>
    </w:p>
    <w:bookmarkStart w:id="37" w:name="the-detectives-method"/>
    <w:p>
      <w:pPr>
        <w:pStyle w:val="Heading3"/>
      </w:pPr>
      <w:r>
        <w:t xml:space="preserve">The Detective’s Method</w:t>
      </w:r>
    </w:p>
    <w:p>
      <w:pPr>
        <w:pStyle w:val="FirstParagraph"/>
      </w:pPr>
      <w:r>
        <w:t xml:space="preserve">Holmes was not gifted with supernatural perception. He was disciplined. He observed what others overlooked, recorded what others dismissed, and built inference chains where others accepted surface impressions.</w:t>
      </w:r>
      <w:r>
        <w:t xml:space="preserve"> </w:t>
      </w:r>
      <w:r>
        <w:t xml:space="preserve">“Gut feel”</w:t>
      </w:r>
      <w:r>
        <w:t xml:space="preserve"> </w:t>
      </w:r>
      <w:r>
        <w:t xml:space="preserve">is the Watson method. Systematic observation is the Holmes method.</w:t>
      </w:r>
    </w:p>
    <w:p>
      <w:pPr>
        <w:pStyle w:val="BodyText"/>
      </w:pPr>
      <w:r>
        <w:t xml:space="preserve">When a founder says</w:t>
      </w:r>
      <w:r>
        <w:t xml:space="preserve"> </w:t>
      </w:r>
      <w:r>
        <w:t xml:space="preserve">“I think this deal is going well,”</w:t>
      </w:r>
      <w:r>
        <w:t xml:space="preserve"> </w:t>
      </w:r>
      <w:r>
        <w:t xml:space="preserve">they are Watson. They are feeling the deal rather than knowing it. The deal feels warm because the champion is enthusiastic, the conversations are productive, the demo went well. These are positive signals, but they are not evidence of a deal.</w:t>
      </w:r>
    </w:p>
    <w:p>
      <w:pPr>
        <w:pStyle w:val="BodyText"/>
      </w:pPr>
      <w:r>
        <w:t xml:space="preserve">MEDDPICC is the detective’s table. It is a framework for making the state of a deal explicit, so that you are working from knowledge rather than impression. A deal in which every MEDDPICC element is green is not a guaranteed close — but a deal in which several elements are red or unknown is not closing next month, no matter how good the conversations feel.</w:t>
      </w:r>
    </w:p>
    <w:p>
      <w:r>
        <w:pict>
          <v:rect style="width:0;height:1.5pt" o:hralign="center" o:hrstd="t" o:hr="t"/>
        </w:pict>
      </w:r>
    </w:p>
    <w:bookmarkEnd w:id="37"/>
    <w:bookmarkStart w:id="38" w:name="meddpicc-a-diagnostic-not-a-checklist"/>
    <w:p>
      <w:pPr>
        <w:pStyle w:val="Heading3"/>
      </w:pPr>
      <w:r>
        <w:t xml:space="preserve">MEDDPICC: A Diagnostic, Not a Checklist</w:t>
      </w:r>
    </w:p>
    <w:p>
      <w:pPr>
        <w:pStyle w:val="FirstParagraph"/>
      </w:pPr>
      <w:r>
        <w:t xml:space="preserve">MEDDPICC stands for: Metrics, Economic Buyer, Decision Criteria, Decision Process, Paper Process, Identify Pain, Champion, Competition.</w:t>
      </w:r>
    </w:p>
    <w:p>
      <w:pPr>
        <w:pStyle w:val="BodyText"/>
      </w:pPr>
      <w:r>
        <w:t xml:space="preserve">The common mistake is to treat it as a checklist — a set of boxes to tick before a deal can be called qualified. This is not how it works.</w:t>
      </w:r>
    </w:p>
    <w:p>
      <w:pPr>
        <w:pStyle w:val="BodyText"/>
      </w:pPr>
      <w:r>
        <w:t xml:space="preserve">MEDDPICC is a diagnostic. It tells you what you know and what you don’t know about a deal. The gaps are the work. A deal with a weak Champion is not disqualified — it is a deal where your next priority is to either develop the champion or find a better one. A deal with no confirmed Metrics is not lost — it is a deal where the next conversation should be about the business case.</w:t>
      </w:r>
    </w:p>
    <w:p>
      <w:pPr>
        <w:pStyle w:val="BodyText"/>
      </w:pPr>
      <w:r>
        <w:t xml:space="preserve">The insight is that you can predict, with reasonable accuracy, which deals will close based on the state of the MEDDPICC elements — not because the framework is magic, but because the elements it measures are genuinely the things that determine whether a complex sale completes.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What it measures</w:t>
            </w:r>
          </w:p>
        </w:tc>
        <w:tc>
          <w:tcPr/>
          <w:p>
            <w:pPr>
              <w:pStyle w:val="Compact"/>
            </w:pPr>
            <w:r>
              <w:t xml:space="preserve">Key failure mode</w:t>
            </w:r>
          </w:p>
        </w:tc>
      </w:tr>
      <w:tr>
        <w:tc>
          <w:tcPr/>
          <w:p>
            <w:pPr>
              <w:pStyle w:val="Compact"/>
            </w:pPr>
            <w:r>
              <w:rPr>
                <w:b/>
                <w:bCs/>
              </w:rPr>
              <w:t xml:space="preserve">M</w:t>
            </w:r>
            <w:r>
              <w:t xml:space="preserve"> </w:t>
            </w:r>
            <w:r>
              <w:t xml:space="preserve">— Metrics</w:t>
            </w:r>
          </w:p>
        </w:tc>
        <w:tc>
          <w:tcPr/>
          <w:p>
            <w:pPr>
              <w:pStyle w:val="Compact"/>
            </w:pPr>
            <w:r>
              <w:t xml:space="preserve">Quantified business case</w:t>
            </w:r>
          </w:p>
        </w:tc>
        <w:tc>
          <w:tcPr/>
          <w:p>
            <w:pPr>
              <w:pStyle w:val="Compact"/>
            </w:pPr>
            <w:r>
              <w:t xml:space="preserve">Value is directional, not specific</w:t>
            </w:r>
          </w:p>
        </w:tc>
      </w:tr>
      <w:tr>
        <w:tc>
          <w:tcPr/>
          <w:p>
            <w:pPr>
              <w:pStyle w:val="Compact"/>
            </w:pPr>
            <w:r>
              <w:rPr>
                <w:b/>
                <w:bCs/>
              </w:rPr>
              <w:t xml:space="preserve">E</w:t>
            </w:r>
            <w:r>
              <w:t xml:space="preserve"> </w:t>
            </w:r>
            <w:r>
              <w:t xml:space="preserve">— Economic Buyer</w:t>
            </w:r>
          </w:p>
        </w:tc>
        <w:tc>
          <w:tcPr/>
          <w:p>
            <w:pPr>
              <w:pStyle w:val="Compact"/>
            </w:pPr>
            <w:r>
              <w:t xml:space="preserve">Decision authority</w:t>
            </w:r>
          </w:p>
        </w:tc>
        <w:tc>
          <w:tcPr/>
          <w:p>
            <w:pPr>
              <w:pStyle w:val="Compact"/>
            </w:pPr>
            <w:r>
              <w:t xml:space="preserve">Talking to the wrong person</w:t>
            </w:r>
          </w:p>
        </w:tc>
      </w:tr>
      <w:tr>
        <w:tc>
          <w:tcPr/>
          <w:p>
            <w:pPr>
              <w:pStyle w:val="Compact"/>
            </w:pPr>
            <w:r>
              <w:rPr>
                <w:b/>
                <w:bCs/>
              </w:rPr>
              <w:t xml:space="preserve">D</w:t>
            </w:r>
            <w:r>
              <w:t xml:space="preserve"> </w:t>
            </w:r>
            <w:r>
              <w:t xml:space="preserve">— Decision Criteria</w:t>
            </w:r>
          </w:p>
        </w:tc>
        <w:tc>
          <w:tcPr/>
          <w:p>
            <w:pPr>
              <w:pStyle w:val="Compact"/>
            </w:pPr>
            <w:r>
              <w:t xml:space="preserve">Formal evaluation requirements</w:t>
            </w:r>
          </w:p>
        </w:tc>
        <w:tc>
          <w:tcPr/>
          <w:p>
            <w:pPr>
              <w:pStyle w:val="Compact"/>
            </w:pPr>
            <w:r>
              <w:t xml:space="preserve">Criteria set by competitor</w:t>
            </w:r>
          </w:p>
        </w:tc>
      </w:tr>
      <w:tr>
        <w:tc>
          <w:tcPr/>
          <w:p>
            <w:pPr>
              <w:pStyle w:val="Compact"/>
            </w:pPr>
            <w:r>
              <w:rPr>
                <w:b/>
                <w:bCs/>
              </w:rPr>
              <w:t xml:space="preserve">D</w:t>
            </w:r>
            <w:r>
              <w:t xml:space="preserve"> </w:t>
            </w:r>
            <w:r>
              <w:t xml:space="preserve">— Decision Process</w:t>
            </w:r>
          </w:p>
        </w:tc>
        <w:tc>
          <w:tcPr/>
          <w:p>
            <w:pPr>
              <w:pStyle w:val="Compact"/>
            </w:pPr>
            <w:r>
              <w:t xml:space="preserve">How the decision is made</w:t>
            </w:r>
          </w:p>
        </w:tc>
        <w:tc>
          <w:tcPr/>
          <w:p>
            <w:pPr>
              <w:pStyle w:val="Compact"/>
            </w:pPr>
            <w:r>
              <w:t xml:space="preserve">Process is longer than assumed</w:t>
            </w:r>
          </w:p>
        </w:tc>
      </w:tr>
      <w:tr>
        <w:tc>
          <w:tcPr/>
          <w:p>
            <w:pPr>
              <w:pStyle w:val="Compact"/>
            </w:pPr>
            <w:r>
              <w:rPr>
                <w:b/>
                <w:bCs/>
              </w:rPr>
              <w:t xml:space="preserve">P</w:t>
            </w:r>
            <w:r>
              <w:t xml:space="preserve"> </w:t>
            </w:r>
            <w:r>
              <w:t xml:space="preserve">— Paper Process</w:t>
            </w:r>
          </w:p>
        </w:tc>
        <w:tc>
          <w:tcPr/>
          <w:p>
            <w:pPr>
              <w:pStyle w:val="Compact"/>
            </w:pPr>
            <w:r>
              <w:t xml:space="preserve">Legal and procurement steps</w:t>
            </w:r>
          </w:p>
        </w:tc>
        <w:tc>
          <w:tcPr/>
          <w:p>
            <w:pPr>
              <w:pStyle w:val="Compact"/>
            </w:pPr>
            <w:r>
              <w:t xml:space="preserve">Paper process starts late</w:t>
            </w:r>
          </w:p>
        </w:tc>
      </w:tr>
      <w:tr>
        <w:tc>
          <w:tcPr/>
          <w:p>
            <w:pPr>
              <w:pStyle w:val="Compact"/>
            </w:pPr>
            <w:r>
              <w:rPr>
                <w:b/>
                <w:bCs/>
              </w:rPr>
              <w:t xml:space="preserve">I</w:t>
            </w:r>
            <w:r>
              <w:t xml:space="preserve"> </w:t>
            </w:r>
            <w:r>
              <w:t xml:space="preserve">— Identified Pain</w:t>
            </w:r>
          </w:p>
        </w:tc>
        <w:tc>
          <w:tcPr/>
          <w:p>
            <w:pPr>
              <w:pStyle w:val="Compact"/>
            </w:pPr>
            <w:r>
              <w:t xml:space="preserve">Confirmed business problem</w:t>
            </w:r>
          </w:p>
        </w:tc>
        <w:tc>
          <w:tcPr/>
          <w:p>
            <w:pPr>
              <w:pStyle w:val="Compact"/>
            </w:pPr>
            <w:r>
              <w:t xml:space="preserve">Pain is technical, not business</w:t>
            </w:r>
          </w:p>
        </w:tc>
      </w:tr>
      <w:tr>
        <w:tc>
          <w:tcPr/>
          <w:p>
            <w:pPr>
              <w:pStyle w:val="Compact"/>
            </w:pPr>
            <w:r>
              <w:rPr>
                <w:b/>
                <w:bCs/>
              </w:rPr>
              <w:t xml:space="preserve">C</w:t>
            </w:r>
            <w:r>
              <w:t xml:space="preserve"> </w:t>
            </w:r>
            <w:r>
              <w:t xml:space="preserve">— Champion</w:t>
            </w:r>
          </w:p>
        </w:tc>
        <w:tc>
          <w:tcPr/>
          <w:p>
            <w:pPr>
              <w:pStyle w:val="Compact"/>
            </w:pPr>
            <w:r>
              <w:t xml:space="preserve">Internal advocate</w:t>
            </w:r>
          </w:p>
        </w:tc>
        <w:tc>
          <w:tcPr/>
          <w:p>
            <w:pPr>
              <w:pStyle w:val="Compact"/>
            </w:pPr>
            <w:r>
              <w:t xml:space="preserve">Champion has no power to act</w:t>
            </w:r>
          </w:p>
        </w:tc>
      </w:tr>
      <w:tr>
        <w:tc>
          <w:tcPr/>
          <w:p>
            <w:pPr>
              <w:pStyle w:val="Compact"/>
            </w:pPr>
            <w:r>
              <w:rPr>
                <w:b/>
                <w:bCs/>
              </w:rPr>
              <w:t xml:space="preserve">C</w:t>
            </w:r>
            <w:r>
              <w:t xml:space="preserve"> </w:t>
            </w:r>
            <w:r>
              <w:t xml:space="preserve">— Competition</w:t>
            </w:r>
          </w:p>
        </w:tc>
        <w:tc>
          <w:tcPr/>
          <w:p>
            <w:pPr>
              <w:pStyle w:val="Compact"/>
            </w:pPr>
            <w:r>
              <w:t xml:space="preserve">Who else is in the evaluation</w:t>
            </w:r>
          </w:p>
        </w:tc>
        <w:tc>
          <w:tcPr/>
          <w:p>
            <w:pPr>
              <w:pStyle w:val="Compact"/>
            </w:pPr>
            <w:r>
              <w:t xml:space="preserve">Competitive threat not mapped</w:t>
            </w:r>
          </w:p>
        </w:tc>
      </w:tr>
    </w:tbl>
    <w:p>
      <w:r>
        <w:pict>
          <v:rect style="width:0;height:1.5pt" o:hralign="center" o:hrstd="t" o:hr="t"/>
        </w:pict>
      </w:r>
    </w:p>
    <w:bookmarkEnd w:id="38"/>
    <w:bookmarkStart w:id="39" w:name="metrics-the-language-the-eb-speaks"/>
    <w:p>
      <w:pPr>
        <w:pStyle w:val="Heading3"/>
      </w:pPr>
      <w:r>
        <w:t xml:space="preserve">Metrics: The Language the EB Speaks</w:t>
      </w:r>
    </w:p>
    <w:p>
      <w:pPr>
        <w:pStyle w:val="FirstParagraph"/>
      </w:pPr>
      <w:r>
        <w:t xml:space="preserve">Metrics are the quantified business case — the numbers that justify the investment. Without them, your deal lives or dies on the subjective judgement of whoever approves the budget, which is a fragile position.</w:t>
      </w:r>
    </w:p>
    <w:p>
      <w:pPr>
        <w:pStyle w:val="BodyText"/>
      </w:pPr>
      <w:r>
        <w:t xml:space="preserve">Metrics come in two types:</w:t>
      </w:r>
    </w:p>
    <w:p>
      <w:pPr>
        <w:pStyle w:val="BodyText"/>
      </w:pPr>
      <w:r>
        <w:rPr>
          <w:b/>
          <w:bCs/>
        </w:rPr>
        <w:t xml:space="preserve">Hard metrics</w:t>
      </w:r>
      <w:r>
        <w:t xml:space="preserve"> </w:t>
      </w:r>
      <w:r>
        <w:t xml:space="preserve">are directly measurable and easily attributed to the product. Time saved, error rates reduced, headcount avoided, revenue directly generated by the tool. These are the strongest metrics because they are auditable.</w:t>
      </w:r>
    </w:p>
    <w:p>
      <w:pPr>
        <w:pStyle w:val="BodyText"/>
      </w:pPr>
      <w:r>
        <w:rPr>
          <w:b/>
          <w:bCs/>
        </w:rPr>
        <w:t xml:space="preserve">Soft metrics</w:t>
      </w:r>
      <w:r>
        <w:t xml:space="preserve"> </w:t>
      </w:r>
      <w:r>
        <w:t xml:space="preserve">are real but harder to measure precisely. Improved decision quality, faster time to insight, better employee satisfaction, reduced risk of an unlikely-but-costly event. These are not fabricated, but they require more work to quantify and more credibility to land with a sceptical CFO.</w:t>
      </w:r>
    </w:p>
    <w:p>
      <w:pPr>
        <w:pStyle w:val="BodyText"/>
      </w:pPr>
      <w:r>
        <w:t xml:space="preserve">The standard you should aim for: metrics that the buyer has provided or validated, expressed in their terminology, and sufficient to justify the ACV with a clear return calculation.</w:t>
      </w:r>
    </w:p>
    <w:p>
      <w:pPr>
        <w:pStyle w:val="BodyText"/>
      </w:pPr>
      <w:r>
        <w:t xml:space="preserve">Weak metrics look like:</w:t>
      </w:r>
    </w:p>
    <w:p>
      <w:pPr>
        <w:pStyle w:val="Compact"/>
        <w:numPr>
          <w:ilvl w:val="0"/>
          <w:numId w:val="1011"/>
        </w:numPr>
      </w:pPr>
      <w:r>
        <w:t xml:space="preserve">“We believe this will improve efficiency significantly”</w:t>
      </w:r>
    </w:p>
    <w:p>
      <w:pPr>
        <w:pStyle w:val="Compact"/>
        <w:numPr>
          <w:ilvl w:val="0"/>
          <w:numId w:val="1011"/>
        </w:numPr>
      </w:pPr>
      <w:r>
        <w:t xml:space="preserve">“Companies using this typically see 20–40% improvement”</w:t>
      </w:r>
      <w:r>
        <w:t xml:space="preserve"> </w:t>
      </w:r>
      <w:r>
        <w:t xml:space="preserve">(generic benchmark, not their number)</w:t>
      </w:r>
    </w:p>
    <w:p>
      <w:pPr>
        <w:pStyle w:val="Compact"/>
        <w:numPr>
          <w:ilvl w:val="0"/>
          <w:numId w:val="1011"/>
        </w:numPr>
      </w:pPr>
      <w:r>
        <w:t xml:space="preserve">“The team will save a lot of time”</w:t>
      </w:r>
      <w:r>
        <w:t xml:space="preserve"> </w:t>
      </w:r>
      <w:r>
        <w:t xml:space="preserve">(not quantified)</w:t>
      </w:r>
    </w:p>
    <w:p>
      <w:pPr>
        <w:pStyle w:val="FirstParagraph"/>
      </w:pPr>
      <w:r>
        <w:t xml:space="preserve">Strong metrics look like:</w:t>
      </w:r>
    </w:p>
    <w:p>
      <w:pPr>
        <w:pStyle w:val="Compact"/>
        <w:numPr>
          <w:ilvl w:val="0"/>
          <w:numId w:val="1012"/>
        </w:numPr>
      </w:pPr>
      <w:r>
        <w:t xml:space="preserve">“Based on your current process, we estimate 4 hours per analyst per week — that’s 800 hours per year across your team, which at fully-loaded cost is approximately £120k. The product costs £40k. The payback period is four months.”</w:t>
      </w:r>
    </w:p>
    <w:p>
      <w:pPr>
        <w:pStyle w:val="FirstParagraph"/>
      </w:pPr>
      <w:r>
        <w:t xml:space="preserve">The number should be theirs. The calculation can be yours. The combination is a business case.</w:t>
      </w:r>
    </w:p>
    <w:p>
      <w:r>
        <w:pict>
          <v:rect style="width:0;height:1.5pt" o:hralign="center" o:hrstd="t" o:hr="t"/>
        </w:pict>
      </w:r>
    </w:p>
    <w:bookmarkEnd w:id="39"/>
    <w:bookmarkStart w:id="40" w:name="champion-the-internal-advocate"/>
    <w:p>
      <w:pPr>
        <w:pStyle w:val="Heading3"/>
      </w:pPr>
      <w:r>
        <w:t xml:space="preserve">Champion: The Internal Advocate</w:t>
      </w:r>
    </w:p>
    <w:p>
      <w:pPr>
        <w:pStyle w:val="FirstParagraph"/>
      </w:pPr>
      <w:r>
        <w:t xml:space="preserve">Your champion is not the person who is friendliest to you. They are not the person who has evaluated the product most thoroughly. They are not the person who has been most positive in your conversations.</w:t>
      </w:r>
    </w:p>
    <w:p>
      <w:pPr>
        <w:pStyle w:val="BodyText"/>
      </w:pPr>
      <w:r>
        <w:t xml:space="preserve">Your champion is the person inside the customer organisation who is actively using their own credibility and political capital to advance your deal.</w:t>
      </w:r>
    </w:p>
    <w:p>
      <w:pPr>
        <w:pStyle w:val="BodyText"/>
      </w:pPr>
      <w:r>
        <w:t xml:space="preserve">This is a specific, behavioural definition. The champion acts. They arrange meetings you didn’t ask for. They surface information about internal dynamics. They tell you when something has changed. They protect your deal when procurement tries to delay it. They push back on competing internal priorities.</w:t>
      </w:r>
    </w:p>
    <w:p>
      <w:pPr>
        <w:pStyle w:val="BodyText"/>
      </w:pPr>
      <w:r>
        <w:t xml:space="preserve">If your</w:t>
      </w:r>
      <w:r>
        <w:t xml:space="preserve"> </w:t>
      </w:r>
      <w:r>
        <w:t xml:space="preserve">“champion”</w:t>
      </w:r>
      <w:r>
        <w:t xml:space="preserve"> </w:t>
      </w:r>
      <w:r>
        <w:t xml:space="preserve">has never done any of these things, they are a user, or a sponsor, or a friendly contact. They are not a champion.</w:t>
      </w:r>
    </w:p>
    <w:p>
      <w:pPr>
        <w:pStyle w:val="BodyText"/>
      </w:pPr>
      <w:r>
        <w:t xml:space="preserve">The four tests of a real champion:</w:t>
      </w:r>
    </w:p>
    <w:p>
      <w:pPr>
        <w:pStyle w:val="Compact"/>
        <w:numPr>
          <w:ilvl w:val="0"/>
          <w:numId w:val="1013"/>
        </w:numPr>
      </w:pPr>
      <w:r>
        <w:rPr>
          <w:b/>
          <w:bCs/>
        </w:rPr>
        <w:t xml:space="preserve">They have arranged a meeting with someone senior that you didn’t explicitly request.</w:t>
      </w:r>
      <w:r>
        <w:t xml:space="preserve"> </w:t>
      </w:r>
      <w:r>
        <w:t xml:space="preserve">They are putting their own credibility on the line to advance the deal.</w:t>
      </w:r>
    </w:p>
    <w:p>
      <w:pPr>
        <w:pStyle w:val="Compact"/>
        <w:numPr>
          <w:ilvl w:val="0"/>
          <w:numId w:val="1013"/>
        </w:numPr>
      </w:pPr>
      <w:r>
        <w:rPr>
          <w:b/>
          <w:bCs/>
        </w:rPr>
        <w:t xml:space="preserve">They have told you something you wouldn’t otherwise know.</w:t>
      </w:r>
      <w:r>
        <w:t xml:space="preserve"> </w:t>
      </w:r>
      <w:r>
        <w:t xml:space="preserve">Internal politics, competing priorities, the real reason for a delay. A real champion gives you intelligence.</w:t>
      </w:r>
    </w:p>
    <w:p>
      <w:pPr>
        <w:pStyle w:val="Compact"/>
        <w:numPr>
          <w:ilvl w:val="0"/>
          <w:numId w:val="1013"/>
        </w:numPr>
      </w:pPr>
      <w:r>
        <w:rPr>
          <w:b/>
          <w:bCs/>
        </w:rPr>
        <w:t xml:space="preserve">They can tell you what the EB thinks.</w:t>
      </w:r>
      <w:r>
        <w:t xml:space="preserve"> </w:t>
      </w:r>
      <w:r>
        <w:t xml:space="preserve">Not what they assume the EB thinks. What they have heard the EB say.</w:t>
      </w:r>
    </w:p>
    <w:p>
      <w:pPr>
        <w:pStyle w:val="Compact"/>
        <w:numPr>
          <w:ilvl w:val="0"/>
          <w:numId w:val="1013"/>
        </w:numPr>
      </w:pPr>
      <w:r>
        <w:rPr>
          <w:b/>
          <w:bCs/>
        </w:rPr>
        <w:t xml:space="preserve">They have a reason to personally succeed.</w:t>
      </w:r>
      <w:r>
        <w:t xml:space="preserve"> </w:t>
      </w:r>
      <w:r>
        <w:t xml:space="preserve">The champion’s success is tied to this deal succeeding. They have something at stake.</w:t>
      </w:r>
    </w:p>
    <w:p>
      <w:pPr>
        <w:pStyle w:val="FirstParagraph"/>
      </w:pPr>
      <w:r>
        <w:t xml:space="preserve">A champion who fails any of these tests should be assessed carefully before you invest further in the deal. Many deals that feel progressing are actually stalled at the champion stage — a friendly but powerless contact who cannot move anything.</w:t>
      </w:r>
    </w:p>
    <w:p>
      <w:r>
        <w:pict>
          <v:rect style="width:0;height:1.5pt" o:hralign="center" o:hrstd="t" o:hr="t"/>
        </w:pict>
      </w:r>
    </w:p>
    <w:bookmarkEnd w:id="40"/>
    <w:bookmarkStart w:id="41" w:name="what-weakens-a-champion"/>
    <w:p>
      <w:pPr>
        <w:pStyle w:val="Heading3"/>
      </w:pPr>
      <w:r>
        <w:t xml:space="preserve">What Weakens a Champion</w:t>
      </w:r>
    </w:p>
    <w:p>
      <w:pPr>
        <w:pStyle w:val="FirstParagraph"/>
      </w:pPr>
      <w:r>
        <w:t xml:space="preserve">Champions weaken in predictable ways:</w:t>
      </w:r>
    </w:p>
    <w:p>
      <w:pPr>
        <w:pStyle w:val="BodyText"/>
      </w:pPr>
      <w:r>
        <w:rPr>
          <w:b/>
          <w:bCs/>
        </w:rPr>
        <w:t xml:space="preserve">They change roles.</w:t>
      </w:r>
      <w:r>
        <w:t xml:space="preserve"> </w:t>
      </w:r>
      <w:r>
        <w:t xml:space="preserve">Reorganisations happen. The champion you built over six months moves to a different division. Their replacement has no relationship with you and no investment in the deal.</w:t>
      </w:r>
    </w:p>
    <w:p>
      <w:pPr>
        <w:pStyle w:val="BodyText"/>
      </w:pPr>
      <w:r>
        <w:rPr>
          <w:b/>
          <w:bCs/>
        </w:rPr>
        <w:t xml:space="preserve">They lose internal credibility.</w:t>
      </w:r>
      <w:r>
        <w:t xml:space="preserve"> </w:t>
      </w:r>
      <w:r>
        <w:t xml:space="preserve">If the project has encountered problems, or if the champion has overcommitted to timelines that slipped, their ability to advocate for you is reduced. Their political capital is spent.</w:t>
      </w:r>
    </w:p>
    <w:p>
      <w:pPr>
        <w:pStyle w:val="BodyText"/>
      </w:pPr>
      <w:r>
        <w:rPr>
          <w:b/>
          <w:bCs/>
        </w:rPr>
        <w:t xml:space="preserve">They face competing priorities.</w:t>
      </w:r>
      <w:r>
        <w:t xml:space="preserve"> </w:t>
      </w:r>
      <w:r>
        <w:t xml:space="preserve">A major internal initiative has landed. The champion’s attention is fully absorbed. Your deal is still on their list but not at the top.</w:t>
      </w:r>
    </w:p>
    <w:p>
      <w:pPr>
        <w:pStyle w:val="BodyText"/>
      </w:pPr>
      <w:r>
        <w:rPr>
          <w:b/>
          <w:bCs/>
        </w:rPr>
        <w:t xml:space="preserve">They were never as senior as they implied.</w:t>
      </w:r>
      <w:r>
        <w:t xml:space="preserve"> </w:t>
      </w:r>
      <w:r>
        <w:t xml:space="preserve">This is common. The champion represents themselves as having more influence than they actually have. When the deal needs to advance, they cannot deliver.</w:t>
      </w:r>
    </w:p>
    <w:p>
      <w:pPr>
        <w:pStyle w:val="BodyText"/>
      </w:pPr>
      <w:r>
        <w:t xml:space="preserve">The mitigation is to have more than one champion wherever possible. And to maintain relationships with more than one person inside the account — not to go around the champion, but to have intelligence from multiple angles.</w:t>
      </w:r>
    </w:p>
    <w:p>
      <w:r>
        <w:pict>
          <v:rect style="width:0;height:1.5pt" o:hralign="center" o:hrstd="t" o:hr="t"/>
        </w:pict>
      </w:r>
    </w:p>
    <w:bookmarkEnd w:id="41"/>
    <w:bookmarkStart w:id="42" w:name="Xc1697b37c76b75bed1a39409de91a0b4fe7a036"/>
    <w:p>
      <w:pPr>
        <w:pStyle w:val="Heading3"/>
      </w:pPr>
      <w:r>
        <w:t xml:space="preserve">Champion vs Sponsor: The Critical Distinction</w:t>
      </w:r>
    </w:p>
    <w:p>
      <w:pPr>
        <w:pStyle w:val="FirstParagraph"/>
      </w:pPr>
      <w:r>
        <w:t xml:space="preserve">This distinction is the one most founders misidentify, and misidentifying it is expensive.</w:t>
      </w:r>
    </w:p>
    <w:p>
      <w:pPr>
        <w:pStyle w:val="BodyText"/>
      </w:pPr>
      <w:r>
        <w:t xml:space="preserve">A</w:t>
      </w:r>
      <w:r>
        <w:t xml:space="preserve"> </w:t>
      </w:r>
      <w:r>
        <w:rPr>
          <w:b/>
          <w:bCs/>
        </w:rPr>
        <w:t xml:space="preserve">sponsor</w:t>
      </w:r>
      <w:r>
        <w:t xml:space="preserve"> </w:t>
      </w:r>
      <w:r>
        <w:t xml:space="preserve">is a senior person inside the customer organisation who supports the deal. They are enthusiastic about the technology. They say positive things about you in internal meetings. They have agreed to make an introduction.</w:t>
      </w:r>
    </w:p>
    <w:p>
      <w:pPr>
        <w:pStyle w:val="BodyText"/>
      </w:pPr>
      <w:r>
        <w:t xml:space="preserve">A</w:t>
      </w:r>
      <w:r>
        <w:t xml:space="preserve"> </w:t>
      </w:r>
      <w:r>
        <w:rPr>
          <w:b/>
          <w:bCs/>
        </w:rPr>
        <w:t xml:space="preserve">champion</w:t>
      </w:r>
      <w:r>
        <w:t xml:space="preserve"> </w:t>
      </w:r>
      <w:r>
        <w:t xml:space="preserve">is a person at any level who is actively doing work to advance the deal. They have skin in the game. The deal’s success is their success.</w:t>
      </w:r>
    </w:p>
    <w:p>
      <w:pPr>
        <w:pStyle w:val="BodyText"/>
      </w:pPr>
      <w:r>
        <w:t xml:space="preserve">The distinction matters because sponsors do not close deals. Sponsors provide cover. They will not argue with procurement. They will not push back on a timeline delay. They will not go to the CFO and make the case for budget. They support the deal when it is easy to support, and they become neutral when it becomes difficult.</w:t>
      </w:r>
    </w:p>
    <w:p>
      <w:pPr>
        <w:pStyle w:val="BodyText"/>
      </w:pPr>
      <w:r>
        <w:t xml:space="preserve">Founders frequently misidentify a VP or Director who has spoken warmly about the product as their champion. This person is a sponsor. The real champion is often the Head of Operations or the Data Engineering Lead who has built a proof of concept in their own time, argued with the procurement team about the security review, and told you that the CFO is on holiday next week and the approval needs to happen before they get back.</w:t>
      </w:r>
    </w:p>
    <w:p>
      <w:pPr>
        <w:pStyle w:val="BodyText"/>
      </w:pPr>
      <w:r>
        <w:t xml:space="preserve">The test:</w:t>
      </w:r>
      <w:r>
        <w:t xml:space="preserve"> </w:t>
      </w:r>
      <w:r>
        <w:t xml:space="preserve">“If this deal were in danger of being delayed by three months due to an internal priority conflict, what would [name] do about it?”</w:t>
      </w:r>
      <w:r>
        <w:t xml:space="preserve"> </w:t>
      </w:r>
      <w:r>
        <w:t xml:space="preserve">A champion fights. A sponsor sympathises.</w:t>
      </w:r>
    </w:p>
    <w:p>
      <w:pPr>
        <w:pStyle w:val="BlockText"/>
      </w:pPr>
      <w:r>
        <w:rPr>
          <w:b/>
          <w:bCs/>
        </w:rPr>
        <w:t xml:space="preserve">Sidebar: Florence Nightingale and Von Neumann</w:t>
      </w:r>
    </w:p>
    <w:p>
      <w:pPr>
        <w:pStyle w:val="BlockText"/>
      </w:pPr>
      <w:r>
        <w:t xml:space="preserve">Florence Nightingale introduced the systematic tracking of death causes in military hospitals during the Crimean War. Before her, nurses operated on intuition and tradition. She proved — with a statistical visualisation that became a landmark in data communication — that systematic tracking changed outcomes. Before her methods, soldiers died of preventable causes at catastrophic rates. After: they didn’t. MEDDPICC is the systematic tracking. Without it, deals die of preventable causes.</w:t>
      </w:r>
    </w:p>
    <w:p>
      <w:pPr>
        <w:pStyle w:val="BlockText"/>
      </w:pPr>
      <w:r>
        <w:t xml:space="preserve">John von Neumann, one of the architects of game theory, established that optimal play requires complete knowledge of the game state. You cannot make the best move in a chess game without knowing where all the pieces are. MEDDPICC is the mechanism for knowing where all the pieces are in a deal. A founder who cannot describe the game state of their three most important deals is not playing optimally.</w:t>
      </w:r>
    </w:p>
    <w:p>
      <w:r>
        <w:pict>
          <v:rect style="width:0;height:1.5pt" o:hralign="center" o:hrstd="t" o:hr="t"/>
        </w:pict>
      </w:r>
    </w:p>
    <w:bookmarkEnd w:id="42"/>
    <w:bookmarkEnd w:id="43"/>
    <w:bookmarkStart w:id="50" w:name="chapter-5"/>
    <w:p>
      <w:pPr>
        <w:pStyle w:val="Heading2"/>
      </w:pPr>
      <w:r>
        <w:t xml:space="preserve">Chapter 5 — The Late Game</w:t>
      </w:r>
    </w:p>
    <w:p>
      <w:pPr>
        <w:pStyle w:val="BlockText"/>
      </w:pPr>
      <w:r>
        <w:rPr>
          <w:i/>
          <w:iCs/>
        </w:rPr>
        <w:t xml:space="preserve">“The impediment to action advances action. What stands in the way becomes the way.”</w:t>
      </w:r>
    </w:p>
    <w:p>
      <w:pPr>
        <w:pStyle w:val="BlockText"/>
      </w:pPr>
      <w:r>
        <w:t xml:space="preserve">— Marcus Aurelius,</w:t>
      </w:r>
      <w:r>
        <w:t xml:space="preserve"> </w:t>
      </w:r>
      <w:r>
        <w:rPr>
          <w:i/>
          <w:iCs/>
        </w:rPr>
        <w:t xml:space="preserve">Meditations</w:t>
      </w:r>
      <w:r>
        <w:t xml:space="preserve">, Book V</w:t>
      </w:r>
    </w:p>
    <w:tbl>
      <w:tblPr>
        <w:tblStyle w:val="FigureTable"/>
        <w:tblW w:type="auto" w:w="0"/>
        <w:jc w:val="center"/>
        <w:tblLook w:firstRow="0" w:lastRow="0" w:firstColumn="0" w:lastColumn="0"/>
      </w:tblPr>
      <w:tblGrid>
        <w:gridCol w:w="7920"/>
      </w:tblGrid>
      <w:tr>
        <w:tc>
          <w:tcPr/>
          <w:p>
            <w:pPr>
              <w:pStyle w:val="Compact"/>
              <w:jc w:val="center"/>
            </w:pPr>
            <w:r>
              <w:t xml:space="preserve">Figure 5.1: Marcus Aurelius writing in his campaign tent by lamplight</w:t>
            </w:r>
          </w:p>
        </w:tc>
      </w:tr>
    </w:tbl>
    <w:p>
      <w:pPr>
        <w:pStyle w:val="ImageCaption"/>
      </w:pPr>
      <w:r>
        <w:t xml:space="preserve">Figure 5.1: Marcus Aurelius writing in his campaign tent by lamplight</w:t>
      </w:r>
    </w:p>
    <w:p>
      <w:pPr>
        <w:pStyle w:val="BodyText"/>
      </w:pPr>
      <w:r>
        <w:rPr>
          <w:i/>
          <w:iCs/>
        </w:rPr>
        <w:t xml:space="preserve">Marcus Aurelius at the frontier. Behind him, the empire. Ahead, the Danube campaign. The Meditations were written in these conditions — not in comfort, but in the middle of the work. Stoic practice is not detachment from difficulty. It is clarity about what you can control, and total commitment within that space.</w:t>
      </w:r>
    </w:p>
    <w:p>
      <w:r>
        <w:pict>
          <v:rect style="width:0;height:1.5pt" o:hralign="center" o:hrstd="t" o:hr="t"/>
        </w:pict>
      </w:r>
    </w:p>
    <w:bookmarkStart w:id="44" w:name="the-stoic-approach-to-the-late-game"/>
    <w:p>
      <w:pPr>
        <w:pStyle w:val="Heading3"/>
      </w:pPr>
      <w:r>
        <w:t xml:space="preserve">The Stoic Approach to the Late Game</w:t>
      </w:r>
    </w:p>
    <w:p>
      <w:pPr>
        <w:pStyle w:val="FirstParagraph"/>
      </w:pPr>
      <w:r>
        <w:t xml:space="preserve">Marcus Aurelius governed Rome during a period of simultaneous military campaigns, plague, economic stress, and political instability. He did not control most of these. What he controlled was his response to them.</w:t>
      </w:r>
    </w:p>
    <w:p>
      <w:pPr>
        <w:pStyle w:val="BodyText"/>
      </w:pPr>
      <w:r>
        <w:t xml:space="preserve">The Stoic insight is not that obstacles don’t matter — they clearly do. It is that anguishing over what you cannot control is a waste of the attention that should go to what you can. Map the situation clearly. Accept what is fixed. Move decisively on what is not.</w:t>
      </w:r>
    </w:p>
    <w:p>
      <w:pPr>
        <w:pStyle w:val="BodyText"/>
      </w:pPr>
      <w:r>
        <w:t xml:space="preserve">The late game in enterprise sales is where most founders lose deals they should have won. Not because of product inferiority. Not because of price. Because the final steps — the legal review, the procurement process, the security questionnaire, the internal approval journey — are slow, opaque, and full of obstacles that feel like deal killers but are often just process.</w:t>
      </w:r>
    </w:p>
    <w:p>
      <w:pPr>
        <w:pStyle w:val="BodyText"/>
      </w:pPr>
      <w:r>
        <w:t xml:space="preserve">The Stoic distinction: which of these obstacles are immovable facts of this organisation’s buying process, and which are delays that can be shortened with the right action? Most of them are the latter. Most of the founders who lose deals in the last month do so because they stop acting — they treat procurement’s silence as rejection rather than as a vacuum that needs to be filled.</w:t>
      </w:r>
    </w:p>
    <w:p>
      <w:r>
        <w:pict>
          <v:rect style="width:0;height:1.5pt" o:hralign="center" o:hrstd="t" o:hr="t"/>
        </w:pict>
      </w:r>
    </w:p>
    <w:bookmarkEnd w:id="44"/>
    <w:bookmarkStart w:id="45" w:name="X8376d31ae57f07105e6c49bcfd2d53086c4b912"/>
    <w:p>
      <w:pPr>
        <w:pStyle w:val="Heading3"/>
      </w:pPr>
      <w:r>
        <w:t xml:space="preserve">Decision Criteria: The Rules of the Evaluation</w:t>
      </w:r>
    </w:p>
    <w:p>
      <w:pPr>
        <w:pStyle w:val="FirstParagraph"/>
      </w:pPr>
      <w:r>
        <w:t xml:space="preserve">Decision criteria are the explicit list of things the customer will evaluate your product against. In a formal procurement, they will be written down. In an informal evaluation, they exist but may not be articulated.</w:t>
      </w:r>
    </w:p>
    <w:p>
      <w:pPr>
        <w:pStyle w:val="BodyText"/>
      </w:pPr>
      <w:r>
        <w:t xml:space="preserve">The question is not whether decision criteria exist. They always exist. The question is whether they were set with your involvement or without it.</w:t>
      </w:r>
    </w:p>
    <w:p>
      <w:pPr>
        <w:pStyle w:val="BodyText"/>
      </w:pPr>
      <w:r>
        <w:rPr>
          <w:b/>
          <w:bCs/>
        </w:rPr>
        <w:t xml:space="preserve">Criteria set with your involvement</w:t>
      </w:r>
      <w:r>
        <w:t xml:space="preserve"> </w:t>
      </w:r>
      <w:r>
        <w:t xml:space="preserve">are an advantage. If you have been in the discovery conversations when success criteria were being defined, you have had the opportunity to influence what they measure, which tends to favour your strengths. This is not manipulation — it is the natural result of thorough discovery. If you understand the customer’s problem better than your competitors, the criteria that accurately reflect the problem will tend to favour you.</w:t>
      </w:r>
    </w:p>
    <w:p>
      <w:pPr>
        <w:pStyle w:val="BodyText"/>
      </w:pPr>
      <w:r>
        <w:rPr>
          <w:b/>
          <w:bCs/>
        </w:rPr>
        <w:t xml:space="preserve">Criteria set without your involvement</w:t>
      </w:r>
      <w:r>
        <w:t xml:space="preserve"> </w:t>
      </w:r>
      <w:r>
        <w:t xml:space="preserve">are often a disadvantage. A competitor who has been in the account longer, or whose champion is closer to the evaluation team, will have shaped the criteria in their favour. You can often detect this when you see a RFP or evaluation framework that seems oddly specific about capabilities you don’t have.</w:t>
      </w:r>
    </w:p>
    <w:p>
      <w:pPr>
        <w:pStyle w:val="BodyText"/>
      </w:pPr>
      <w:r>
        <w:t xml:space="preserve">What to do when the criteria don’t favour you:</w:t>
      </w:r>
    </w:p>
    <w:p>
      <w:pPr>
        <w:pStyle w:val="BodyText"/>
      </w:pPr>
      <w:r>
        <w:t xml:space="preserve">First, understand the origin. Ask:</w:t>
      </w:r>
      <w:r>
        <w:t xml:space="preserve"> </w:t>
      </w:r>
      <w:r>
        <w:t xml:space="preserve">“Who put this list together? What was the process?”</w:t>
      </w:r>
      <w:r>
        <w:t xml:space="preserve"> </w:t>
      </w:r>
      <w:r>
        <w:t xml:space="preserve">Criteria that were set by procurement from a generic template are much more negotiable than criteria that were set by the technical team in consultation with their legal counsel.</w:t>
      </w:r>
    </w:p>
    <w:p>
      <w:pPr>
        <w:pStyle w:val="BodyText"/>
      </w:pPr>
      <w:r>
        <w:t xml:space="preserve">Second, challenge the ones that are genuinely irrelevant. Not all decision criteria represent real requirements. Some are legacy items that nobody has thought to remove.</w:t>
      </w:r>
      <w:r>
        <w:t xml:space="preserve"> </w:t>
      </w:r>
      <w:r>
        <w:t xml:space="preserve">“Why is this criterion important to you? How would you use this in practice?”</w:t>
      </w:r>
      <w:r>
        <w:t xml:space="preserve"> </w:t>
      </w:r>
      <w:r>
        <w:t xml:space="preserve">often reveals that a requirement that looked blocking is actually a nice-to-have.</w:t>
      </w:r>
    </w:p>
    <w:p>
      <w:pPr>
        <w:pStyle w:val="BodyText"/>
      </w:pPr>
      <w:r>
        <w:t xml:space="preserve">Third, accept the ones you can’t change and compete on the ones you can. The Stoic approach. You cannot change the fact that they require SOC 2 Type II certification if they require it. You can move faster than your competitors on getting it.</w:t>
      </w:r>
    </w:p>
    <w:p>
      <w:r>
        <w:pict>
          <v:rect style="width:0;height:1.5pt" o:hralign="center" o:hrstd="t" o:hr="t"/>
        </w:pict>
      </w:r>
    </w:p>
    <w:bookmarkEnd w:id="45"/>
    <w:bookmarkStart w:id="46" w:name="decision-process-the-anatomy-of-a-yes"/>
    <w:p>
      <w:pPr>
        <w:pStyle w:val="Heading3"/>
      </w:pPr>
      <w:r>
        <w:t xml:space="preserve">Decision Process: The Anatomy of a Yes</w:t>
      </w:r>
    </w:p>
    <w:p>
      <w:pPr>
        <w:pStyle w:val="FirstParagraph"/>
      </w:pPr>
      <w:r>
        <w:t xml:space="preserve">The decision process is the sequence of steps between a verbal yes and a signed contract. Founders consistently underestimate how many steps there are.</w:t>
      </w:r>
    </w:p>
    <w:p>
      <w:pPr>
        <w:pStyle w:val="BodyText"/>
      </w:pPr>
      <w:r>
        <w:t xml:space="preserve">A typical enterprise decision process might look like:</w:t>
      </w:r>
    </w:p>
    <w:p>
      <w:pPr>
        <w:pStyle w:val="Compact"/>
        <w:numPr>
          <w:ilvl w:val="0"/>
          <w:numId w:val="1014"/>
        </w:numPr>
      </w:pPr>
      <w:r>
        <w:t xml:space="preserve">Champion recommendation to department head</w:t>
      </w:r>
    </w:p>
    <w:p>
      <w:pPr>
        <w:pStyle w:val="Compact"/>
        <w:numPr>
          <w:ilvl w:val="0"/>
          <w:numId w:val="1014"/>
        </w:numPr>
      </w:pPr>
      <w:r>
        <w:t xml:space="preserve">Department head review and internal presentation</w:t>
      </w:r>
    </w:p>
    <w:p>
      <w:pPr>
        <w:pStyle w:val="Compact"/>
        <w:numPr>
          <w:ilvl w:val="0"/>
          <w:numId w:val="1014"/>
        </w:numPr>
      </w:pPr>
      <w:r>
        <w:t xml:space="preserve">Informal EB approval in principle</w:t>
      </w:r>
    </w:p>
    <w:p>
      <w:pPr>
        <w:pStyle w:val="Compact"/>
        <w:numPr>
          <w:ilvl w:val="0"/>
          <w:numId w:val="1014"/>
        </w:numPr>
      </w:pPr>
      <w:r>
        <w:t xml:space="preserve">Formal business case submission to finance</w:t>
      </w:r>
    </w:p>
    <w:p>
      <w:pPr>
        <w:pStyle w:val="Compact"/>
        <w:numPr>
          <w:ilvl w:val="0"/>
          <w:numId w:val="1014"/>
        </w:numPr>
      </w:pPr>
      <w:r>
        <w:t xml:space="preserve">Finance review (cost/benefit analysis, vendor financial health)</w:t>
      </w:r>
    </w:p>
    <w:p>
      <w:pPr>
        <w:pStyle w:val="Compact"/>
        <w:numPr>
          <w:ilvl w:val="0"/>
          <w:numId w:val="1014"/>
        </w:numPr>
      </w:pPr>
      <w:r>
        <w:t xml:space="preserve">Legal review (contract terms, IP, data ownership)</w:t>
      </w:r>
    </w:p>
    <w:p>
      <w:pPr>
        <w:pStyle w:val="Compact"/>
        <w:numPr>
          <w:ilvl w:val="0"/>
          <w:numId w:val="1014"/>
        </w:numPr>
      </w:pPr>
      <w:r>
        <w:t xml:space="preserve">Security review (vendor security questionnaire, architecture review)</w:t>
      </w:r>
    </w:p>
    <w:p>
      <w:pPr>
        <w:pStyle w:val="Compact"/>
        <w:numPr>
          <w:ilvl w:val="0"/>
          <w:numId w:val="1014"/>
        </w:numPr>
      </w:pPr>
      <w:r>
        <w:t xml:space="preserve">Procurement tender process or waiver</w:t>
      </w:r>
    </w:p>
    <w:p>
      <w:pPr>
        <w:pStyle w:val="Compact"/>
        <w:numPr>
          <w:ilvl w:val="0"/>
          <w:numId w:val="1014"/>
        </w:numPr>
      </w:pPr>
      <w:r>
        <w:t xml:space="preserve">Formal board or executive approval</w:t>
      </w:r>
    </w:p>
    <w:p>
      <w:pPr>
        <w:pStyle w:val="Compact"/>
        <w:numPr>
          <w:ilvl w:val="0"/>
          <w:numId w:val="1014"/>
        </w:numPr>
      </w:pPr>
      <w:r>
        <w:t xml:space="preserve">Purchase order raised</w:t>
      </w:r>
    </w:p>
    <w:p>
      <w:pPr>
        <w:pStyle w:val="Compact"/>
        <w:numPr>
          <w:ilvl w:val="0"/>
          <w:numId w:val="1014"/>
        </w:numPr>
      </w:pPr>
      <w:r>
        <w:t xml:space="preserve">Contract signed</w:t>
      </w:r>
    </w:p>
    <w:p>
      <w:pPr>
        <w:pStyle w:val="FirstParagraph"/>
      </w:pPr>
      <w:r>
        <w:t xml:space="preserve">In a large enterprise, each of these steps can take weeks. Step 7 alone can stall a deal for two months if the security team is under-resourced or if your product handles personal data in a way that triggers additional review.</w:t>
      </w:r>
    </w:p>
    <w:p>
      <w:pPr>
        <w:pStyle w:val="BodyText"/>
      </w:pPr>
      <w:r>
        <w:t xml:space="preserve">The discipline is to map this process explicitly, as early as possible. Ask the champion:</w:t>
      </w:r>
      <w:r>
        <w:t xml:space="preserve"> </w:t>
      </w:r>
      <w:r>
        <w:t xml:space="preserve">“Walk me through how a purchase like this gets approved from here. Who needs to be involved, and in what order?”</w:t>
      </w:r>
      <w:r>
        <w:t xml:space="preserve"> </w:t>
      </w:r>
      <w:r>
        <w:t xml:space="preserve">Then ask:</w:t>
      </w:r>
      <w:r>
        <w:t xml:space="preserve"> </w:t>
      </w:r>
      <w:r>
        <w:t xml:space="preserve">“What typically takes the longest? Where do deals like this usually get stuck?”</w:t>
      </w:r>
    </w:p>
    <w:p>
      <w:pPr>
        <w:pStyle w:val="BodyText"/>
      </w:pPr>
      <w:r>
        <w:t xml:space="preserve">The champion who can answer this question clearly is a genuine champion — they know the process because they have navigated it before. The one who gives a vague answer is either not experienced enough with internal procurement or not invested enough in your deal to have found out.</w:t>
      </w:r>
    </w:p>
    <w:p>
      <w:r>
        <w:pict>
          <v:rect style="width:0;height:1.5pt" o:hralign="center" o:hrstd="t" o:hr="t"/>
        </w:pict>
      </w:r>
    </w:p>
    <w:bookmarkEnd w:id="46"/>
    <w:bookmarkStart w:id="47" w:name="paper-process-start-early-not-late"/>
    <w:p>
      <w:pPr>
        <w:pStyle w:val="Heading3"/>
      </w:pPr>
      <w:r>
        <w:t xml:space="preserve">Paper Process: Start Early, Not Late</w:t>
      </w:r>
    </w:p>
    <w:p>
      <w:pPr>
        <w:pStyle w:val="FirstParagraph"/>
      </w:pPr>
      <w:r>
        <w:t xml:space="preserve">“Paper process”</w:t>
      </w:r>
      <w:r>
        <w:t xml:space="preserve"> </w:t>
      </w:r>
      <w:r>
        <w:t xml:space="preserve">is everything that happens on the legal and administrative side of a deal: the NDA, the MSA (Master Services Agreement), the Order Form or Statement of Work, the Data Processing Agreement, the security questionnaire, and whatever other documents the customer’s legal and procurement teams require.</w:t>
      </w:r>
    </w:p>
    <w:p>
      <w:pPr>
        <w:pStyle w:val="BodyText"/>
      </w:pPr>
      <w:r>
        <w:t xml:space="preserve">The universal mistake is to start this process after the commercial agreement is reached. This is because starting the paper process feels premature before the deal is agreed — and also because the paper process is uncomfortable, and there is a human tendency to delay discomfort.</w:t>
      </w:r>
    </w:p>
    <w:p>
      <w:pPr>
        <w:pStyle w:val="BodyText"/>
      </w:pPr>
      <w:r>
        <w:t xml:space="preserve">The cost of this delay is significant. Legal review in a large enterprise can take six to twelve weeks. If the customer discovers at week eight of their security review that you handle personal data in a way that requires a DPA they haven’t prepared, add another four weeks. If your MSA has terms that their legal team objects to — and enterprise legal teams nearly always object to something — each round of negotiation takes a week.</w:t>
      </w:r>
    </w:p>
    <w:p>
      <w:pPr>
        <w:pStyle w:val="BodyText"/>
      </w:pPr>
      <w:r>
        <w:t xml:space="preserve">A deal that was</w:t>
      </w:r>
      <w:r>
        <w:t xml:space="preserve"> </w:t>
      </w:r>
      <w:r>
        <w:t xml:space="preserve">“agreed in principle”</w:t>
      </w:r>
      <w:r>
        <w:t xml:space="preserve"> </w:t>
      </w:r>
      <w:r>
        <w:t xml:space="preserve">in October and is targeting a January start can easily slip to April if the paper process starts in November.</w:t>
      </w:r>
    </w:p>
    <w:p>
      <w:pPr>
        <w:pStyle w:val="BodyText"/>
      </w:pPr>
      <w:r>
        <w:t xml:space="preserve">The alternative: start the paper process in parallel with the commercial discussion, not after it. Send your standard MSA as part of the proposal. Ask for their security questionnaire at the same time as you provide the business case. Start the NDA process as soon as confidential information is being shared — which is usually in the first technical conversation.</w:t>
      </w:r>
    </w:p>
    <w:p>
      <w:pPr>
        <w:pStyle w:val="BodyText"/>
      </w:pPr>
      <w:r>
        <w:t xml:space="preserve">The customer who objects to starting the paper process early is signalling one of two things: they are not serious about the timeline, or they are not senior enough to push their own legal team to move. Both are useful intelligence.</w:t>
      </w:r>
    </w:p>
    <w:p>
      <w:pPr>
        <w:pStyle w:val="BlockText"/>
      </w:pPr>
      <w:r>
        <w:rPr>
          <w:b/>
          <w:bCs/>
        </w:rPr>
        <w:t xml:space="preserve">Note:</w:t>
      </w:r>
      <w:r>
        <w:t xml:space="preserve"> </w:t>
      </w:r>
      <w:r>
        <w:t xml:space="preserve">The legal documents in the Appendix of this book are not a substitute for qualified legal advice. They are starting points — templates that reflect reasonable commercial norms for a UK-based SaaS vendor. Have a solicitor review your MSA before you use it in a deal. The cost of this is small compared to the cost of a badly drafted contract that binds you to terms you didn’t intend.</w:t>
      </w:r>
    </w:p>
    <w:p>
      <w:r>
        <w:pict>
          <v:rect style="width:0;height:1.5pt" o:hralign="center" o:hrstd="t" o:hr="t"/>
        </w:pict>
      </w:r>
    </w:p>
    <w:bookmarkEnd w:id="47"/>
    <w:bookmarkStart w:id="48" w:name="competition-know-the-full-landscape"/>
    <w:p>
      <w:pPr>
        <w:pStyle w:val="Heading3"/>
      </w:pPr>
      <w:r>
        <w:t xml:space="preserve">Competition: Know the Full Landscape</w:t>
      </w:r>
    </w:p>
    <w:p>
      <w:pPr>
        <w:pStyle w:val="FirstParagraph"/>
      </w:pPr>
      <w:r>
        <w:t xml:space="preserve">Most founders have a reasonable view of their direct competitors — other companies building similar technology. They have a much weaker view of the other two types of competition that are more likely to lose them deals.</w:t>
      </w:r>
    </w:p>
    <w:p>
      <w:pPr>
        <w:pStyle w:val="BodyText"/>
      </w:pPr>
      <w:r>
        <w:rPr>
          <w:b/>
          <w:bCs/>
        </w:rPr>
        <w:t xml:space="preserve">The incumbent</w:t>
      </w:r>
      <w:r>
        <w:t xml:space="preserve">: The existing solution the customer is using, however imperfect. This might be a legacy software product, a manual process, or a combination of spreadsheets and workarounds. The incumbent has advantages you cannot match: it exists, it is paid for, the team knows how to use it, and switching it out involves risk and effort. You are not competing against the incumbent’s features. You are competing against the organisational inertia that keeps it in place.</w:t>
      </w:r>
    </w:p>
    <w:p>
      <w:pPr>
        <w:pStyle w:val="BodyText"/>
      </w:pPr>
      <w:r>
        <w:rPr>
          <w:b/>
          <w:bCs/>
        </w:rPr>
        <w:t xml:space="preserve">Build vs buy</w:t>
      </w:r>
      <w:r>
        <w:t xml:space="preserve">: Many enterprise customers who are evaluating your product are simultaneously discussing whether to build it themselves. The</w:t>
      </w:r>
      <w:r>
        <w:t xml:space="preserve"> </w:t>
      </w:r>
      <w:r>
        <w:t xml:space="preserve">“build internally”</w:t>
      </w:r>
      <w:r>
        <w:t xml:space="preserve"> </w:t>
      </w:r>
      <w:r>
        <w:t xml:space="preserve">option is a competitor. It is more likely to be chosen by: companies with large engineering teams, companies that see the capability as strategic and proprietary, and situations where no available product meets 80% of the requirements. Your response to this is not to argue that building is expensive (though it is). It is to demonstrate that your product’s capabilities have been developed over time in ways that cannot be replicated in a short internal build, and that ongoing development and support is part of the value.</w:t>
      </w:r>
    </w:p>
    <w:p>
      <w:pPr>
        <w:pStyle w:val="BodyText"/>
      </w:pPr>
      <w:r>
        <w:t xml:space="preserve">The question to ask early:</w:t>
      </w:r>
      <w:r>
        <w:t xml:space="preserve"> </w:t>
      </w:r>
      <w:r>
        <w:t xml:space="preserve">“Is there any internal discussion about building this rather than buying it?”</w:t>
      </w:r>
      <w:r>
        <w:t xml:space="preserve"> </w:t>
      </w:r>
      <w:r>
        <w:t xml:space="preserve">An honest champion will tell you. A positive answer does not kill the deal — but it changes the conversation. You are now selling against an internal engineering project as well as competing vendors.</w:t>
      </w:r>
    </w:p>
    <w:p>
      <w:r>
        <w:pict>
          <v:rect style="width:0;height:1.5pt" o:hralign="center" o:hrstd="t" o:hr="t"/>
        </w:pict>
      </w:r>
    </w:p>
    <w:bookmarkEnd w:id="48"/>
    <w:bookmarkStart w:id="49" w:name="counter-positioning"/>
    <w:p>
      <w:pPr>
        <w:pStyle w:val="Heading3"/>
      </w:pPr>
      <w:r>
        <w:t xml:space="preserve">Counter-Positioning</w:t>
      </w:r>
    </w:p>
    <w:p>
      <w:pPr>
        <w:pStyle w:val="FirstParagraph"/>
      </w:pPr>
      <w:r>
        <w:t xml:space="preserve">Counter-positioning is the strategy of placing your product in relation to the competition in a way that makes direct comparison difficult. It is not spin. It is the deliberate framing of your product’s category.</w:t>
      </w:r>
    </w:p>
    <w:p>
      <w:pPr>
        <w:pStyle w:val="BodyText"/>
      </w:pPr>
      <w:r>
        <w:t xml:space="preserve">The most effective counter-positioning answers the question:</w:t>
      </w:r>
      <w:r>
        <w:t xml:space="preserve"> </w:t>
      </w:r>
      <w:r>
        <w:t xml:space="preserve">“What does this product do that the alternatives simply cannot, because of how they are built?”</w:t>
      </w:r>
      <w:r>
        <w:t xml:space="preserve"> </w:t>
      </w:r>
      <w:r>
        <w:t xml:space="preserve">Not</w:t>
      </w:r>
      <w:r>
        <w:t xml:space="preserve"> </w:t>
      </w:r>
      <w:r>
        <w:t xml:space="preserve">“we do it better.”</w:t>
      </w:r>
      <w:r>
        <w:t xml:space="preserve"> </w:t>
      </w:r>
      <w:r>
        <w:t xml:space="preserve">That is a feature comparison, and feature comparisons lead to feature evaluations, which lead to procurement decisions that favour the incumbent or the cheapest option.</w:t>
      </w:r>
    </w:p>
    <w:p>
      <w:pPr>
        <w:pStyle w:val="BodyText"/>
      </w:pPr>
      <w:r>
        <w:t xml:space="preserve">Counter-positioning establishes a different axis of comparison.</w:t>
      </w:r>
      <w:r>
        <w:t xml:space="preserve"> </w:t>
      </w:r>
      <w:r>
        <w:t xml:space="preserve">“We are the only product that does X in real time, because our architecture processes at the data layer rather than at the application layer. Any product that processes at the application layer cannot do X at scale.”</w:t>
      </w:r>
      <w:r>
        <w:t xml:space="preserve"> </w:t>
      </w:r>
      <w:r>
        <w:t xml:space="preserve">Now the comparison is about whether the customer needs real-time X — which is a strategic question, not a feature comparison.</w:t>
      </w:r>
    </w:p>
    <w:p>
      <w:pPr>
        <w:pStyle w:val="BodyText"/>
      </w:pPr>
      <w:r>
        <w:t xml:space="preserve">The build vs buy calculation: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Build</w:t>
            </w:r>
          </w:p>
        </w:tc>
        <w:tc>
          <w:tcPr/>
          <w:p>
            <w:pPr>
              <w:pStyle w:val="Compact"/>
            </w:pPr>
            <w:r>
              <w:t xml:space="preserve">Buy (your product)</w:t>
            </w:r>
          </w:p>
        </w:tc>
      </w:tr>
      <w:tr>
        <w:tc>
          <w:tcPr/>
          <w:p>
            <w:pPr>
              <w:pStyle w:val="Compact"/>
            </w:pPr>
            <w:r>
              <w:t xml:space="preserve">Time to first deployment</w:t>
            </w:r>
          </w:p>
        </w:tc>
        <w:tc>
          <w:tcPr/>
          <w:p>
            <w:pPr>
              <w:pStyle w:val="Compact"/>
            </w:pPr>
            <w:r>
              <w:t xml:space="preserve">9–18 months</w:t>
            </w:r>
          </w:p>
        </w:tc>
        <w:tc>
          <w:tcPr/>
          <w:p>
            <w:pPr>
              <w:pStyle w:val="Compact"/>
            </w:pPr>
            <w:r>
              <w:t xml:space="preserve">4–8 weeks</w:t>
            </w:r>
          </w:p>
        </w:tc>
      </w:tr>
      <w:tr>
        <w:tc>
          <w:tcPr/>
          <w:p>
            <w:pPr>
              <w:pStyle w:val="Compact"/>
            </w:pPr>
            <w:r>
              <w:t xml:space="preserve">Engineering cost</w:t>
            </w:r>
          </w:p>
        </w:tc>
        <w:tc>
          <w:tcPr/>
          <w:p>
            <w:pPr>
              <w:pStyle w:val="Compact"/>
            </w:pPr>
            <w:r>
              <w:t xml:space="preserve">£400–600k year one</w:t>
            </w:r>
          </w:p>
        </w:tc>
        <w:tc>
          <w:tcPr/>
          <w:p>
            <w:pPr>
              <w:pStyle w:val="Compact"/>
            </w:pPr>
            <w:r>
              <w:t xml:space="preserve">ACV</w:t>
            </w:r>
          </w:p>
        </w:tc>
      </w:tr>
      <w:tr>
        <w:tc>
          <w:tcPr/>
          <w:p>
            <w:pPr>
              <w:pStyle w:val="Compact"/>
            </w:pPr>
            <w:r>
              <w:t xml:space="preserve">Ongoing maintenance</w:t>
            </w:r>
          </w:p>
        </w:tc>
        <w:tc>
          <w:tcPr/>
          <w:p>
            <w:pPr>
              <w:pStyle w:val="Compact"/>
            </w:pPr>
            <w:r>
              <w:t xml:space="preserve">1–2 engineers indefinitely</w:t>
            </w:r>
          </w:p>
        </w:tc>
        <w:tc>
          <w:tcPr/>
          <w:p>
            <w:pPr>
              <w:pStyle w:val="Compact"/>
            </w:pPr>
            <w:r>
              <w:t xml:space="preserve">Included</w:t>
            </w:r>
          </w:p>
        </w:tc>
      </w:tr>
      <w:tr>
        <w:tc>
          <w:tcPr/>
          <w:p>
            <w:pPr>
              <w:pStyle w:val="Compact"/>
            </w:pPr>
            <w:r>
              <w:t xml:space="preserve">Feature velocity</w:t>
            </w:r>
          </w:p>
        </w:tc>
        <w:tc>
          <w:tcPr/>
          <w:p>
            <w:pPr>
              <w:pStyle w:val="Compact"/>
            </w:pPr>
            <w:r>
              <w:t xml:space="preserve">Limited by internal capacity</w:t>
            </w:r>
          </w:p>
        </w:tc>
        <w:tc>
          <w:tcPr/>
          <w:p>
            <w:pPr>
              <w:pStyle w:val="Compact"/>
            </w:pPr>
            <w:r>
              <w:t xml:space="preserve">Shared across customer base</w:t>
            </w:r>
          </w:p>
        </w:tc>
      </w:tr>
      <w:tr>
        <w:tc>
          <w:tcPr/>
          <w:p>
            <w:pPr>
              <w:pStyle w:val="Compact"/>
            </w:pPr>
            <w:r>
              <w:t xml:space="preserve">Risk of under-delivery</w:t>
            </w:r>
          </w:p>
        </w:tc>
        <w:tc>
          <w:tcPr/>
          <w:p>
            <w:pPr>
              <w:pStyle w:val="Compact"/>
            </w:pPr>
            <w:r>
              <w:t xml:space="preserve">High (first time building)</w:t>
            </w:r>
          </w:p>
        </w:tc>
        <w:tc>
          <w:tcPr/>
          <w:p>
            <w:pPr>
              <w:pStyle w:val="Compact"/>
            </w:pPr>
            <w:r>
              <w:t xml:space="preserve">Lower (proven with other customers)</w:t>
            </w:r>
          </w:p>
        </w:tc>
      </w:tr>
      <w:tr>
        <w:tc>
          <w:tcPr/>
          <w:p>
            <w:pPr>
              <w:pStyle w:val="Compact"/>
            </w:pPr>
            <w:r>
              <w:t xml:space="preserve">Strategic control</w:t>
            </w:r>
          </w:p>
        </w:tc>
        <w:tc>
          <w:tcPr/>
          <w:p>
            <w:pPr>
              <w:pStyle w:val="Compact"/>
            </w:pPr>
            <w:r>
              <w:t xml:space="preserve">Maximum</w:t>
            </w:r>
          </w:p>
        </w:tc>
        <w:tc>
          <w:tcPr/>
          <w:p>
            <w:pPr>
              <w:pStyle w:val="Compact"/>
            </w:pPr>
            <w:r>
              <w:t xml:space="preserve">Dependent on vendor roadmap</w:t>
            </w:r>
          </w:p>
        </w:tc>
      </w:tr>
    </w:tbl>
    <w:p>
      <w:pPr>
        <w:pStyle w:val="BodyText"/>
      </w:pPr>
      <w:r>
        <w:t xml:space="preserve">Present this as a calculation, not a sales argument. The founder who walks through the build vs buy economics honestly — including acknowledging the cases where building makes sense — is more credible than the one who asserts that building is always a bad idea.</w:t>
      </w:r>
    </w:p>
    <w:p>
      <w:pPr>
        <w:pStyle w:val="BlockText"/>
      </w:pPr>
      <w:r>
        <w:rPr>
          <w:b/>
          <w:bCs/>
        </w:rPr>
        <w:t xml:space="preserve">Sidebar: Clausewitz and Curie</w:t>
      </w:r>
    </w:p>
    <w:p>
      <w:pPr>
        <w:pStyle w:val="BlockText"/>
      </w:pPr>
      <w:r>
        <w:t xml:space="preserve">Clausewitz wrote that war is the continuation of politics by other means. The paper process is the continuation of selling by other means. Every redline in the MSA is a negotiating position. Every objection from procurement is a sales conversation conducted through contract language. The founder who treats legal negotiation as a separate, uncomfortable thing that happens after the real work is done will lose time and sometimes deals in the final weeks.</w:t>
      </w:r>
    </w:p>
    <w:p>
      <w:pPr>
        <w:pStyle w:val="BlockText"/>
      </w:pPr>
      <w:r>
        <w:t xml:space="preserve">Marie Curie worked for years on radioactivity research in conditions that were — literally — hostile to her health, her gender, and her institutional standing. She did not move faster by ignoring the obstacles. She moved faster by being more methodical than anyone around her. The paper process requires the same quality: patient, systematic, thorough. Document every request. Follow up on schedule. Know where every outstanding item sits. Speed in the final steps of a deal comes from organisation, not from chasing.</w:t>
      </w:r>
    </w:p>
    <w:p>
      <w:r>
        <w:pict>
          <v:rect style="width:0;height:1.5pt" o:hralign="center" o:hrstd="t" o:hr="t"/>
        </w:pict>
      </w:r>
    </w:p>
    <w:bookmarkEnd w:id="49"/>
    <w:bookmarkEnd w:id="50"/>
    <w:bookmarkStart w:id="56" w:name="appendix"/>
    <w:p>
      <w:pPr>
        <w:pStyle w:val="Heading2"/>
      </w:pPr>
      <w:r>
        <w:t xml:space="preserve">Appendix — Starter Documents for the Paper Process</w:t>
      </w:r>
    </w:p>
    <w:p>
      <w:pPr>
        <w:pStyle w:val="BlockText"/>
      </w:pPr>
      <w:r>
        <w:t xml:space="preserve">These documents are templates for reference only. They reflect reasonable commercial norms for a UK-based software vendor but are not a substitute for legal advice specific to your situation. Have a qualified solicitor review any document before using it in a live commercial transaction.</w:t>
      </w:r>
    </w:p>
    <w:p>
      <w:r>
        <w:pict>
          <v:rect style="width:0;height:1.5pt" o:hralign="center" o:hrstd="t" o:hr="t"/>
        </w:pict>
      </w:r>
    </w:p>
    <w:bookmarkStart w:id="51" w:name="nda"/>
    <w:p>
      <w:pPr>
        <w:pStyle w:val="Heading3"/>
      </w:pPr>
      <w:r>
        <w:t xml:space="preserve">A. Mutual Non-Disclosure Agreement</w:t>
      </w:r>
    </w:p>
    <w:p>
      <w:pPr>
        <w:pStyle w:val="FirstParagraph"/>
      </w:pPr>
      <w:r>
        <w:rPr>
          <w:b/>
          <w:bCs/>
        </w:rPr>
        <w:t xml:space="preserve">MUTUAL NON-DISCLOSURE AGREEMENT</w:t>
      </w:r>
    </w:p>
    <w:p>
      <w:pPr>
        <w:pStyle w:val="BodyText"/>
      </w:pPr>
      <w:r>
        <w:t xml:space="preserve">This Mutual Non-Disclosure Agreement (</w:t>
      </w:r>
      <w:r>
        <w:t xml:space="preserve">“Agreement”</w:t>
      </w:r>
      <w:r>
        <w:t xml:space="preserve">) is entered into as of [DATE] between:</w:t>
      </w:r>
    </w:p>
    <w:p>
      <w:pPr>
        <w:pStyle w:val="BodyText"/>
      </w:pPr>
      <w:r>
        <w:rPr>
          <w:b/>
          <w:bCs/>
        </w:rPr>
        <w:t xml:space="preserve">[VENDOR NAME]</w:t>
      </w:r>
      <w:r>
        <w:t xml:space="preserve">, a company registered in England and Wales (registered number [NUMBER]) with its registered office at [ADDRESS] (</w:t>
      </w:r>
      <w:r>
        <w:t xml:space="preserve">“Vendor”</w:t>
      </w:r>
      <w:r>
        <w:t xml:space="preserve">); and</w:t>
      </w:r>
    </w:p>
    <w:p>
      <w:pPr>
        <w:pStyle w:val="BodyText"/>
      </w:pPr>
      <w:r>
        <w:rPr>
          <w:b/>
          <w:bCs/>
        </w:rPr>
        <w:t xml:space="preserve">[CUSTOMER NAME]</w:t>
      </w:r>
      <w:r>
        <w:t xml:space="preserve">, a company registered in [JURISDICTION] (registered number [NUMBER]) with its registered office at [ADDRESS] (</w:t>
      </w:r>
      <w:r>
        <w:t xml:space="preserve">“Customer”</w:t>
      </w:r>
      <w:r>
        <w:t xml:space="preserve">).</w:t>
      </w:r>
    </w:p>
    <w:p>
      <w:pPr>
        <w:pStyle w:val="BodyText"/>
      </w:pPr>
      <w:r>
        <w:t xml:space="preserve">Vendor and Customer are each referred to herein as a</w:t>
      </w:r>
      <w:r>
        <w:t xml:space="preserve"> </w:t>
      </w:r>
      <w:r>
        <w:t xml:space="preserve">“Party”</w:t>
      </w:r>
      <w:r>
        <w:t xml:space="preserve"> </w:t>
      </w:r>
      <w:r>
        <w:t xml:space="preserve">and collectively as the</w:t>
      </w:r>
      <w:r>
        <w:t xml:space="preserve"> </w:t>
      </w:r>
      <w:r>
        <w:t xml:space="preserve">“Parties.”</w:t>
      </w:r>
    </w:p>
    <w:p>
      <w:r>
        <w:pict>
          <v:rect style="width:0;height:1.5pt" o:hralign="center" o:hrstd="t" o:hr="t"/>
        </w:pict>
      </w:r>
    </w:p>
    <w:p>
      <w:pPr>
        <w:pStyle w:val="FirstParagraph"/>
      </w:pPr>
      <w:r>
        <w:rPr>
          <w:b/>
          <w:bCs/>
        </w:rPr>
        <w:t xml:space="preserve">1. Purpose</w:t>
      </w:r>
    </w:p>
    <w:p>
      <w:pPr>
        <w:pStyle w:val="BodyText"/>
      </w:pPr>
      <w:r>
        <w:t xml:space="preserve">The Parties wish to explore a potential commercial relationship and, in connection with that exploration, may disclose to each other certain confidential and proprietary information. This Agreement governs those disclosures.</w:t>
      </w:r>
    </w:p>
    <w:p>
      <w:pPr>
        <w:pStyle w:val="BodyText"/>
      </w:pPr>
      <w:r>
        <w:rPr>
          <w:b/>
          <w:bCs/>
        </w:rPr>
        <w:t xml:space="preserve">2. Confidential Information</w:t>
      </w:r>
    </w:p>
    <w:p>
      <w:pPr>
        <w:pStyle w:val="BodyText"/>
      </w:pPr>
      <w:r>
        <w:t xml:space="preserve">“Confidential Information”</w:t>
      </w:r>
      <w:r>
        <w:t xml:space="preserve"> </w:t>
      </w:r>
      <w:r>
        <w:t xml:space="preserve">means any information disclosed by one Party (the</w:t>
      </w:r>
      <w:r>
        <w:t xml:space="preserve"> </w:t>
      </w:r>
      <w:r>
        <w:t xml:space="preserve">“Disclosing Party”</w:t>
      </w:r>
      <w:r>
        <w:t xml:space="preserve">) to the other Party (the</w:t>
      </w:r>
      <w:r>
        <w:t xml:space="preserve"> </w:t>
      </w:r>
      <w:r>
        <w:t xml:space="preserve">“Receiving Party”</w:t>
      </w:r>
      <w:r>
        <w:t xml:space="preserve">), either directly or indirectly, in writing, orally or by inspection of tangible objects, that is designated as confidential or that reasonably should be understood to be confidential given the nature of the information and the circumstances of disclosure. Confidential Information includes, without limitation: trade secrets, technical data, know-how, research and development, product plans, products, services, customers, markets, software, developments, inventions, processes, formulas, technology, designs, drawings, engineering, hardware configuration information, marketing, finances, and other business information.</w:t>
      </w:r>
    </w:p>
    <w:p>
      <w:pPr>
        <w:pStyle w:val="BodyText"/>
      </w:pPr>
      <w:r>
        <w:t xml:space="preserve">Confidential Information does not include information that:</w:t>
      </w:r>
    </w:p>
    <w:p>
      <w:pPr>
        <w:pStyle w:val="Compact"/>
        <w:numPr>
          <w:ilvl w:val="0"/>
          <w:numId w:val="1015"/>
        </w:numPr>
      </w:pPr>
      <w:r>
        <w:t xml:space="preserve">is or becomes generally known to the public other than through a breach of this Agreement by the Receiving Party;</w:t>
      </w:r>
    </w:p>
    <w:p>
      <w:pPr>
        <w:pStyle w:val="Compact"/>
        <w:numPr>
          <w:ilvl w:val="0"/>
          <w:numId w:val="1015"/>
        </w:numPr>
      </w:pPr>
      <w:r>
        <w:t xml:space="preserve">was known to the Receiving Party prior to its disclosure by the Disclosing Party, as evidenced by written records pre-dating the disclosure;</w:t>
      </w:r>
    </w:p>
    <w:p>
      <w:pPr>
        <w:pStyle w:val="Compact"/>
        <w:numPr>
          <w:ilvl w:val="0"/>
          <w:numId w:val="1015"/>
        </w:numPr>
      </w:pPr>
      <w:r>
        <w:t xml:space="preserve">is received from a third party without restriction and without breach of any obligation of confidentiality; or</w:t>
      </w:r>
    </w:p>
    <w:p>
      <w:pPr>
        <w:pStyle w:val="Compact"/>
        <w:numPr>
          <w:ilvl w:val="0"/>
          <w:numId w:val="1015"/>
        </w:numPr>
      </w:pPr>
      <w:r>
        <w:t xml:space="preserve">is independently developed by the Receiving Party without use of or reference to the Disclosing Party’s Confidential Information.</w:t>
      </w:r>
    </w:p>
    <w:p>
      <w:pPr>
        <w:pStyle w:val="FirstParagraph"/>
      </w:pPr>
      <w:r>
        <w:rPr>
          <w:b/>
          <w:bCs/>
        </w:rPr>
        <w:t xml:space="preserve">3. Obligations</w:t>
      </w:r>
    </w:p>
    <w:p>
      <w:pPr>
        <w:pStyle w:val="BodyText"/>
      </w:pPr>
      <w:r>
        <w:t xml:space="preserve">Each Receiving Party agrees to:</w:t>
      </w:r>
    </w:p>
    <w:p>
      <w:pPr>
        <w:pStyle w:val="Compact"/>
        <w:numPr>
          <w:ilvl w:val="0"/>
          <w:numId w:val="1016"/>
        </w:numPr>
      </w:pPr>
      <w:r>
        <w:t xml:space="preserve">hold the Disclosing Party’s Confidential Information in strict confidence;</w:t>
      </w:r>
    </w:p>
    <w:p>
      <w:pPr>
        <w:pStyle w:val="Compact"/>
        <w:numPr>
          <w:ilvl w:val="0"/>
          <w:numId w:val="1016"/>
        </w:numPr>
      </w:pPr>
      <w:r>
        <w:t xml:space="preserve">not disclose such Confidential Information to any third party without the prior written consent of the Disclosing Party;</w:t>
      </w:r>
    </w:p>
    <w:p>
      <w:pPr>
        <w:pStyle w:val="Compact"/>
        <w:numPr>
          <w:ilvl w:val="0"/>
          <w:numId w:val="1016"/>
        </w:numPr>
      </w:pPr>
      <w:r>
        <w:t xml:space="preserve">use such Confidential Information solely for the purpose of evaluating the potential commercial relationship between the Parties (the</w:t>
      </w:r>
      <w:r>
        <w:t xml:space="preserve"> </w:t>
      </w:r>
      <w:r>
        <w:t xml:space="preserve">“Permitted Purpose”</w:t>
      </w:r>
      <w:r>
        <w:t xml:space="preserve">);</w:t>
      </w:r>
    </w:p>
    <w:p>
      <w:pPr>
        <w:pStyle w:val="Compact"/>
        <w:numPr>
          <w:ilvl w:val="0"/>
          <w:numId w:val="1016"/>
        </w:numPr>
      </w:pPr>
      <w:r>
        <w:t xml:space="preserve">restrict disclosure to those of its employees, contractors, and advisers who have a need to know the information for the Permitted Purpose and who are bound by obligations of confidentiality no less restrictive than those set out herein; and</w:t>
      </w:r>
    </w:p>
    <w:p>
      <w:pPr>
        <w:pStyle w:val="Compact"/>
        <w:numPr>
          <w:ilvl w:val="0"/>
          <w:numId w:val="1016"/>
        </w:numPr>
      </w:pPr>
      <w:r>
        <w:t xml:space="preserve">promptly notify the Disclosing Party upon becoming aware of any unauthorised disclosure or use of Confidential Information.</w:t>
      </w:r>
    </w:p>
    <w:p>
      <w:pPr>
        <w:pStyle w:val="FirstParagraph"/>
      </w:pPr>
      <w:r>
        <w:rPr>
          <w:b/>
          <w:bCs/>
        </w:rPr>
        <w:t xml:space="preserve">4. Compelled Disclosure</w:t>
      </w:r>
    </w:p>
    <w:p>
      <w:pPr>
        <w:pStyle w:val="BodyText"/>
      </w:pPr>
      <w:r>
        <w:t xml:space="preserve">A Receiving Party may disclose Confidential Information to the extent required by applicable law, regulation, or court order, provided that the Receiving Party: (a) gives the Disclosing Party prompt written notice of such requirement (to the extent permitted by law); (b) cooperates with the Disclosing Party in seeking a protective order or other appropriate relief; and (c) discloses only that portion of the Confidential Information that is legally required to be disclosed.</w:t>
      </w:r>
    </w:p>
    <w:p>
      <w:pPr>
        <w:pStyle w:val="BodyText"/>
      </w:pPr>
      <w:r>
        <w:rPr>
          <w:b/>
          <w:bCs/>
        </w:rPr>
        <w:t xml:space="preserve">5. Return or Destruction</w:t>
      </w:r>
    </w:p>
    <w:p>
      <w:pPr>
        <w:pStyle w:val="BodyText"/>
      </w:pPr>
      <w:r>
        <w:t xml:space="preserve">Upon the Disclosing Party’s written request, or upon termination of this Agreement, the Receiving Party shall promptly return or destroy all Confidential Information (including all copies) and, upon request, certify such return or destruction in writing.</w:t>
      </w:r>
    </w:p>
    <w:p>
      <w:pPr>
        <w:pStyle w:val="BodyText"/>
      </w:pPr>
      <w:r>
        <w:rPr>
          <w:b/>
          <w:bCs/>
        </w:rPr>
        <w:t xml:space="preserve">6. No Licence</w:t>
      </w:r>
    </w:p>
    <w:p>
      <w:pPr>
        <w:pStyle w:val="BodyText"/>
      </w:pPr>
      <w:r>
        <w:t xml:space="preserve">Nothing in this Agreement grants either Party any right, title, interest, or licence in or to any intellectual property of the other Party. The Parties acknowledge that no commitment to enter into any further agreement is created by this Agreement.</w:t>
      </w:r>
    </w:p>
    <w:p>
      <w:pPr>
        <w:pStyle w:val="BodyText"/>
      </w:pPr>
      <w:r>
        <w:rPr>
          <w:b/>
          <w:bCs/>
        </w:rPr>
        <w:t xml:space="preserve">7. Term</w:t>
      </w:r>
    </w:p>
    <w:p>
      <w:pPr>
        <w:pStyle w:val="BodyText"/>
      </w:pPr>
      <w:r>
        <w:t xml:space="preserve">This Agreement shall commence on the date first written above and shall continue for a period of two (2) years, unless earlier terminated by either Party on thirty (30) days’ written notice. The obligations of confidentiality shall survive termination of this Agreement for a further period of three (3) years.</w:t>
      </w:r>
    </w:p>
    <w:p>
      <w:pPr>
        <w:pStyle w:val="BodyText"/>
      </w:pPr>
      <w:r>
        <w:rPr>
          <w:b/>
          <w:bCs/>
        </w:rPr>
        <w:t xml:space="preserve">8. Remedies</w:t>
      </w:r>
    </w:p>
    <w:p>
      <w:pPr>
        <w:pStyle w:val="BodyText"/>
      </w:pPr>
      <w:r>
        <w:t xml:space="preserve">Each Party acknowledges that any breach of this Agreement may cause irreparable harm for which monetary damages would be an inadequate remedy, and that the Disclosing Party shall therefore be entitled to seek injunctive or other equitable relief in addition to any other remedies available at law.</w:t>
      </w:r>
    </w:p>
    <w:p>
      <w:pPr>
        <w:pStyle w:val="BodyText"/>
      </w:pPr>
      <w:r>
        <w:rPr>
          <w:b/>
          <w:bCs/>
        </w:rPr>
        <w:t xml:space="preserve">9. Governing Law</w:t>
      </w:r>
    </w:p>
    <w:p>
      <w:pPr>
        <w:pStyle w:val="BodyText"/>
      </w:pPr>
      <w:r>
        <w:t xml:space="preserve">This Agreement shall be governed by and construed in accordance with the laws of England and Wales. The Parties irrevocably submit to the exclusive jurisdiction of the courts of England and Wales.</w:t>
      </w:r>
    </w:p>
    <w:p>
      <w:pPr>
        <w:pStyle w:val="BodyText"/>
      </w:pPr>
      <w:r>
        <w:rPr>
          <w:b/>
          <w:bCs/>
        </w:rPr>
        <w:t xml:space="preserve">10. General</w:t>
      </w:r>
    </w:p>
    <w:p>
      <w:pPr>
        <w:pStyle w:val="BodyText"/>
      </w:pPr>
      <w:r>
        <w:t xml:space="preserve">This Agreement constitutes the entire agreement between the Parties with respect to its subject matter and supersedes all prior discussions and agreements. It may be amended only by a written instrument signed by authorised representatives of both Parties. If any provision of this Agreement is found to be unenforceable, the remaining provisions shall continue in full force and effect.</w:t>
      </w:r>
    </w:p>
    <w:p>
      <w:r>
        <w:pict>
          <v:rect style="width:0;height:1.5pt" o:hralign="center" o:hrstd="t" o:hr="t"/>
        </w:pict>
      </w:r>
    </w:p>
    <w:p>
      <w:pPr>
        <w:pStyle w:val="FirstParagraph"/>
      </w:pPr>
      <w:r>
        <w:rPr>
          <w:b/>
          <w:bCs/>
        </w:rPr>
        <w:t xml:space="preserve">SIGNED</w:t>
      </w:r>
      <w:r>
        <w:t xml:space="preserve"> </w:t>
      </w:r>
      <w:r>
        <w:t xml:space="preserve">for and on behalf of [VENDOR NAME]:</w:t>
      </w:r>
    </w:p>
    <w:p>
      <w:pPr>
        <w:pStyle w:val="BodyText"/>
      </w:pPr>
      <w:r>
        <w:t xml:space="preserve">Signature: ___________________________</w:t>
      </w:r>
    </w:p>
    <w:p>
      <w:pPr>
        <w:pStyle w:val="BodyText"/>
      </w:pPr>
      <w:r>
        <w:t xml:space="preserve">Name: ________________________________</w:t>
      </w:r>
    </w:p>
    <w:p>
      <w:pPr>
        <w:pStyle w:val="BodyText"/>
      </w:pPr>
      <w:r>
        <w:t xml:space="preserve">Title: 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SIGNED</w:t>
      </w:r>
      <w:r>
        <w:t xml:space="preserve"> </w:t>
      </w:r>
      <w:r>
        <w:t xml:space="preserve">for and on behalf of [CUSTOMER NAME]:</w:t>
      </w:r>
    </w:p>
    <w:p>
      <w:pPr>
        <w:pStyle w:val="BodyText"/>
      </w:pPr>
      <w:r>
        <w:t xml:space="preserve">Signature: ___________________________</w:t>
      </w:r>
    </w:p>
    <w:p>
      <w:pPr>
        <w:pStyle w:val="BodyText"/>
      </w:pPr>
      <w:r>
        <w:t xml:space="preserve">Name: ________________________________</w:t>
      </w:r>
    </w:p>
    <w:p>
      <w:pPr>
        <w:pStyle w:val="BodyText"/>
      </w:pPr>
      <w:r>
        <w:t xml:space="preserve">Title: ________________________________</w:t>
      </w:r>
    </w:p>
    <w:p>
      <w:pPr>
        <w:pStyle w:val="BodyText"/>
      </w:pPr>
      <w:r>
        <w:t xml:space="preserve">Date: _________________________________</w:t>
      </w:r>
    </w:p>
    <w:p>
      <w:r>
        <w:pict>
          <v:rect style="width:0;height:1.5pt" o:hralign="center" o:hrstd="t" o:hr="t"/>
        </w:pict>
      </w:r>
    </w:p>
    <w:bookmarkEnd w:id="51"/>
    <w:bookmarkStart w:id="52" w:name="saas-licence"/>
    <w:p>
      <w:pPr>
        <w:pStyle w:val="Heading3"/>
      </w:pPr>
      <w:r>
        <w:t xml:space="preserve">B. Software Subscription Licence Agreement</w:t>
      </w:r>
    </w:p>
    <w:p>
      <w:pPr>
        <w:pStyle w:val="FirstParagraph"/>
      </w:pPr>
      <w:r>
        <w:rPr>
          <w:b/>
          <w:bCs/>
        </w:rPr>
        <w:t xml:space="preserve">SOFTWARE SUBSCRIPTION LICENCE AGREEMENT</w:t>
      </w:r>
    </w:p>
    <w:p>
      <w:pPr>
        <w:pStyle w:val="BodyText"/>
      </w:pPr>
      <w:r>
        <w:t xml:space="preserve">This Software Subscription Licence Agreement (</w:t>
      </w:r>
      <w:r>
        <w:t xml:space="preserve">“Agreement”</w:t>
      </w:r>
      <w:r>
        <w:t xml:space="preserve">) is entered into as of [DATE] between:</w:t>
      </w:r>
    </w:p>
    <w:p>
      <w:pPr>
        <w:pStyle w:val="BodyText"/>
      </w:pPr>
      <w:r>
        <w:rPr>
          <w:b/>
          <w:bCs/>
        </w:rPr>
        <w:t xml:space="preserve">[VENDOR NAME]</w:t>
      </w:r>
      <w:r>
        <w:t xml:space="preserve"> </w:t>
      </w:r>
      <w:r>
        <w:t xml:space="preserve">(</w:t>
      </w:r>
      <w:r>
        <w:t xml:space="preserve">“Vendor”</w:t>
      </w:r>
      <w:r>
        <w:t xml:space="preserve">); and</w:t>
      </w:r>
      <w:r>
        <w:t xml:space="preserve"> </w:t>
      </w:r>
      <w:r>
        <w:rPr>
          <w:b/>
          <w:bCs/>
        </w:rPr>
        <w:t xml:space="preserve">[CUSTOMER NAME]</w:t>
      </w:r>
      <w:r>
        <w:t xml:space="preserve"> </w:t>
      </w:r>
      <w:r>
        <w:t xml:space="preserve">(</w:t>
      </w:r>
      <w:r>
        <w:t xml:space="preserve">“Customer”</w:t>
      </w:r>
      <w:r>
        <w:t xml:space="preserve">).</w:t>
      </w:r>
    </w:p>
    <w:p>
      <w:r>
        <w:pict>
          <v:rect style="width:0;height:1.5pt" o:hralign="center" o:hrstd="t" o:hr="t"/>
        </w:pict>
      </w:r>
    </w:p>
    <w:p>
      <w:pPr>
        <w:pStyle w:val="FirstParagraph"/>
      </w:pPr>
      <w:r>
        <w:rPr>
          <w:b/>
          <w:bCs/>
        </w:rPr>
        <w:t xml:space="preserve">1. Definitions</w:t>
      </w:r>
    </w:p>
    <w:p>
      <w:pPr>
        <w:pStyle w:val="BodyText"/>
      </w:pPr>
      <w:r>
        <w:t xml:space="preserve">“</w:t>
      </w:r>
      <w:r>
        <w:rPr>
          <w:b/>
          <w:bCs/>
        </w:rPr>
        <w:t xml:space="preserve">Agreement</w:t>
      </w:r>
      <w:r>
        <w:t xml:space="preserve">”</w:t>
      </w:r>
      <w:r>
        <w:t xml:space="preserve"> </w:t>
      </w:r>
      <w:r>
        <w:t xml:space="preserve">means this agreement together with any Order Form executed by the Parties.</w:t>
      </w:r>
    </w:p>
    <w:p>
      <w:pPr>
        <w:pStyle w:val="BodyText"/>
      </w:pPr>
      <w:r>
        <w:t xml:space="preserve">“</w:t>
      </w:r>
      <w:r>
        <w:rPr>
          <w:b/>
          <w:bCs/>
        </w:rPr>
        <w:t xml:space="preserve">Authorised Users</w:t>
      </w:r>
      <w:r>
        <w:t xml:space="preserve">”</w:t>
      </w:r>
      <w:r>
        <w:t xml:space="preserve"> </w:t>
      </w:r>
      <w:r>
        <w:t xml:space="preserve">means Customer’s employees, contractors, and agents who are permitted to access the Software under this Agreement, up to the number specified in the applicable Order Form.</w:t>
      </w:r>
    </w:p>
    <w:p>
      <w:pPr>
        <w:pStyle w:val="BodyText"/>
      </w:pPr>
      <w:r>
        <w:t xml:space="preserve">“</w:t>
      </w:r>
      <w:r>
        <w:rPr>
          <w:b/>
          <w:bCs/>
        </w:rPr>
        <w:t xml:space="preserve">Documentation</w:t>
      </w:r>
      <w:r>
        <w:t xml:space="preserve">”</w:t>
      </w:r>
      <w:r>
        <w:t xml:space="preserve"> </w:t>
      </w:r>
      <w:r>
        <w:t xml:space="preserve">means Vendor’s standard user guides and technical documentation made available to Customer.</w:t>
      </w:r>
    </w:p>
    <w:p>
      <w:pPr>
        <w:pStyle w:val="BodyText"/>
      </w:pPr>
      <w:r>
        <w:t xml:space="preserve">“</w:t>
      </w:r>
      <w:r>
        <w:rPr>
          <w:b/>
          <w:bCs/>
        </w:rPr>
        <w:t xml:space="preserve">Order Form</w:t>
      </w:r>
      <w:r>
        <w:t xml:space="preserve">”</w:t>
      </w:r>
      <w:r>
        <w:t xml:space="preserve"> </w:t>
      </w:r>
      <w:r>
        <w:t xml:space="preserve">means the written document executed by the Parties specifying the subscription details, fees, and term.</w:t>
      </w:r>
    </w:p>
    <w:p>
      <w:pPr>
        <w:pStyle w:val="BodyText"/>
      </w:pPr>
      <w:r>
        <w:t xml:space="preserve">“</w:t>
      </w:r>
      <w:r>
        <w:rPr>
          <w:b/>
          <w:bCs/>
        </w:rPr>
        <w:t xml:space="preserve">Software</w:t>
      </w:r>
      <w:r>
        <w:t xml:space="preserve">”</w:t>
      </w:r>
      <w:r>
        <w:t xml:space="preserve"> </w:t>
      </w:r>
      <w:r>
        <w:t xml:space="preserve">means the cloud-delivered software product identified in the Order Form, together with any updates, upgrades, or modifications provided by Vendor during the Subscription Term.</w:t>
      </w:r>
    </w:p>
    <w:p>
      <w:pPr>
        <w:pStyle w:val="BodyText"/>
      </w:pPr>
      <w:r>
        <w:t xml:space="preserve">“</w:t>
      </w:r>
      <w:r>
        <w:rPr>
          <w:b/>
          <w:bCs/>
        </w:rPr>
        <w:t xml:space="preserve">Subscription Term</w:t>
      </w:r>
      <w:r>
        <w:t xml:space="preserve">”</w:t>
      </w:r>
      <w:r>
        <w:t xml:space="preserve"> </w:t>
      </w:r>
      <w:r>
        <w:t xml:space="preserve">means the period specified in the Order Form, commencing on the start date therein.</w:t>
      </w:r>
    </w:p>
    <w:p>
      <w:pPr>
        <w:pStyle w:val="BodyText"/>
      </w:pPr>
      <w:r>
        <w:rPr>
          <w:b/>
          <w:bCs/>
        </w:rPr>
        <w:t xml:space="preserve">2. Licence Grant</w:t>
      </w:r>
    </w:p>
    <w:p>
      <w:pPr>
        <w:pStyle w:val="BodyText"/>
      </w:pPr>
      <w:r>
        <w:t xml:space="preserve">Subject to the terms of this Agreement and payment of the applicable fees, Vendor grants to Customer a non-exclusive, non-transferable, non-sublicensable licence to access and use the Software during the Subscription Term solely for Customer’s internal business purposes.</w:t>
      </w:r>
    </w:p>
    <w:p>
      <w:pPr>
        <w:pStyle w:val="BodyText"/>
      </w:pPr>
      <w:r>
        <w:rPr>
          <w:b/>
          <w:bCs/>
        </w:rPr>
        <w:t xml:space="preserve">3. Restrictions</w:t>
      </w:r>
    </w:p>
    <w:p>
      <w:pPr>
        <w:pStyle w:val="BodyText"/>
      </w:pPr>
      <w:r>
        <w:t xml:space="preserve">Customer shall not, and shall ensure that Authorised Users do not:</w:t>
      </w:r>
    </w:p>
    <w:p>
      <w:pPr>
        <w:pStyle w:val="Compact"/>
        <w:numPr>
          <w:ilvl w:val="0"/>
          <w:numId w:val="1017"/>
        </w:numPr>
      </w:pPr>
      <w:r>
        <w:t xml:space="preserve">copy, modify, adapt, translate, or create derivative works of the Software;</w:t>
      </w:r>
    </w:p>
    <w:p>
      <w:pPr>
        <w:pStyle w:val="Compact"/>
        <w:numPr>
          <w:ilvl w:val="0"/>
          <w:numId w:val="1017"/>
        </w:numPr>
      </w:pPr>
      <w:r>
        <w:t xml:space="preserve">reverse engineer, decompile, disassemble, or attempt to derive the source code of the Software;</w:t>
      </w:r>
    </w:p>
    <w:p>
      <w:pPr>
        <w:pStyle w:val="Compact"/>
        <w:numPr>
          <w:ilvl w:val="0"/>
          <w:numId w:val="1017"/>
        </w:numPr>
      </w:pPr>
      <w:r>
        <w:t xml:space="preserve">sublicence, sell, resell, transfer, assign, or otherwise dispose of the Software;</w:t>
      </w:r>
    </w:p>
    <w:p>
      <w:pPr>
        <w:pStyle w:val="Compact"/>
        <w:numPr>
          <w:ilvl w:val="0"/>
          <w:numId w:val="1017"/>
        </w:numPr>
      </w:pPr>
      <w:r>
        <w:t xml:space="preserve">access the Software for purposes of competitive analysis or to build a competing product;</w:t>
      </w:r>
    </w:p>
    <w:p>
      <w:pPr>
        <w:pStyle w:val="Compact"/>
        <w:numPr>
          <w:ilvl w:val="0"/>
          <w:numId w:val="1017"/>
        </w:numPr>
      </w:pPr>
      <w:r>
        <w:t xml:space="preserve">use the Software in violation of applicable law; or</w:t>
      </w:r>
    </w:p>
    <w:p>
      <w:pPr>
        <w:pStyle w:val="Compact"/>
        <w:numPr>
          <w:ilvl w:val="0"/>
          <w:numId w:val="1017"/>
        </w:numPr>
      </w:pPr>
      <w:r>
        <w:t xml:space="preserve">exceed the number of Authorised Users specified in the Order Form.</w:t>
      </w:r>
    </w:p>
    <w:p>
      <w:pPr>
        <w:pStyle w:val="FirstParagraph"/>
      </w:pPr>
      <w:r>
        <w:rPr>
          <w:b/>
          <w:bCs/>
        </w:rPr>
        <w:t xml:space="preserve">4. Fees and Payment</w:t>
      </w:r>
    </w:p>
    <w:p>
      <w:pPr>
        <w:pStyle w:val="BodyText"/>
      </w:pPr>
      <w:r>
        <w:t xml:space="preserve">Fees are as specified in the Order Form. Unless otherwise stated, fees are payable annually in advance. All fees are exclusive of VAT, which shall be charged at the applicable rate. Customer shall pay undisputed invoices within thirty (30) days of receipt. Overdue amounts shall bear interest at the rate of 4% per annum above the Bank of England base rate from the due date until paid.</w:t>
      </w:r>
    </w:p>
    <w:p>
      <w:pPr>
        <w:pStyle w:val="BodyText"/>
      </w:pPr>
      <w:r>
        <w:rPr>
          <w:b/>
          <w:bCs/>
        </w:rPr>
        <w:t xml:space="preserve">5. Data Ownership</w:t>
      </w:r>
    </w:p>
    <w:p>
      <w:pPr>
        <w:pStyle w:val="BodyText"/>
      </w:pPr>
      <w:r>
        <w:t xml:space="preserve">As between the Parties, Customer retains all rights, title, and interest in and to all data inputted into or generated by Customer’s use of the Software (</w:t>
      </w:r>
      <w:r>
        <w:t xml:space="preserve">“Customer Data”</w:t>
      </w:r>
      <w:r>
        <w:t xml:space="preserve">). Customer grants Vendor a limited licence to process Customer Data solely for the purpose of providing the Software. Vendor shall not use Customer Data for any other purpose, including the training of machine learning models, without Customer’s prior written consent.</w:t>
      </w:r>
    </w:p>
    <w:p>
      <w:pPr>
        <w:pStyle w:val="BodyText"/>
      </w:pPr>
      <w:r>
        <w:rPr>
          <w:b/>
          <w:bCs/>
        </w:rPr>
        <w:t xml:space="preserve">6. Intellectual Property</w:t>
      </w:r>
    </w:p>
    <w:p>
      <w:pPr>
        <w:pStyle w:val="BodyText"/>
      </w:pPr>
      <w:r>
        <w:t xml:space="preserve">Vendor retains all rights, title, and interest in and to the Software, Documentation, and all related intellectual property. No rights are granted to Customer except as expressly set out in this Agreement. Customer’s feedback or suggestions regarding the Software may be used by Vendor without obligation.</w:t>
      </w:r>
    </w:p>
    <w:p>
      <w:pPr>
        <w:pStyle w:val="BodyText"/>
      </w:pPr>
      <w:r>
        <w:rPr>
          <w:b/>
          <w:bCs/>
        </w:rPr>
        <w:t xml:space="preserve">7. Confidentiality</w:t>
      </w:r>
    </w:p>
    <w:p>
      <w:pPr>
        <w:pStyle w:val="BodyText"/>
      </w:pPr>
      <w:r>
        <w:t xml:space="preserve">Each Party agrees to hold the other’s Confidential Information (as defined in the Parties’ NDA, or if no NDA exists, as would be reasonably understood to be confidential) in confidence and not to disclose it to third parties without prior written consent, except as required by law.</w:t>
      </w:r>
    </w:p>
    <w:p>
      <w:pPr>
        <w:pStyle w:val="BodyText"/>
      </w:pPr>
      <w:r>
        <w:rPr>
          <w:b/>
          <w:bCs/>
        </w:rPr>
        <w:t xml:space="preserve">8. Warranties</w:t>
      </w:r>
    </w:p>
    <w:p>
      <w:pPr>
        <w:pStyle w:val="BodyText"/>
      </w:pPr>
      <w:r>
        <w:t xml:space="preserve">Vendor warrants that: (a) the Software will perform materially in accordance with the Documentation; and (b) Vendor has the right to enter into this Agreement and to grant the licences herein. TO THE EXTENT PERMITTED BY LAW, ALL OTHER WARRANTIES, EXPRESS OR IMPLIED, INCLUDING WARRANTIES OF MERCHANTABILITY, FITNESS FOR A PARTICULAR PURPOSE, AND NON-INFRINGEMENT, ARE EXCLUDED.</w:t>
      </w:r>
    </w:p>
    <w:p>
      <w:pPr>
        <w:pStyle w:val="BodyText"/>
      </w:pPr>
      <w:r>
        <w:rPr>
          <w:b/>
          <w:bCs/>
        </w:rPr>
        <w:t xml:space="preserve">9. Limitation of Liability</w:t>
      </w:r>
    </w:p>
    <w:p>
      <w:pPr>
        <w:pStyle w:val="BodyText"/>
      </w:pPr>
      <w:r>
        <w:t xml:space="preserve">TO THE EXTENT PERMITTED BY LAW:</w:t>
      </w:r>
    </w:p>
    <w:p>
      <w:pPr>
        <w:numPr>
          <w:ilvl w:val="0"/>
          <w:numId w:val="1018"/>
        </w:numPr>
      </w:pPr>
      <w:r>
        <w:t xml:space="preserve">Neither Party shall be liable for indirect, incidental, special, consequential, or punitive damages, including loss of revenue, loss of profit, or loss of data, arising out of or in connection with this Agreement, however caused and regardless of the theory of liability.</w:t>
      </w:r>
    </w:p>
    <w:p>
      <w:pPr>
        <w:numPr>
          <w:ilvl w:val="0"/>
          <w:numId w:val="1018"/>
        </w:numPr>
      </w:pPr>
      <w:r>
        <w:t xml:space="preserve">Vendor’s total aggregate liability to Customer arising out of or in connection with this Agreement shall not exceed the fees paid by Customer to Vendor in the twelve (12) months immediately preceding the event giving rise to the claim.</w:t>
      </w:r>
    </w:p>
    <w:p>
      <w:pPr>
        <w:pStyle w:val="FirstParagraph"/>
      </w:pPr>
      <w:r>
        <w:t xml:space="preserve">Nothing in this Agreement excludes liability for death or personal injury caused by negligence, for fraud or fraudulent misrepresentation, or for any other liability that cannot be excluded by law.</w:t>
      </w:r>
    </w:p>
    <w:p>
      <w:pPr>
        <w:pStyle w:val="BodyText"/>
      </w:pPr>
      <w:r>
        <w:rPr>
          <w:b/>
          <w:bCs/>
        </w:rPr>
        <w:t xml:space="preserve">10. Indemnification</w:t>
      </w:r>
    </w:p>
    <w:p>
      <w:pPr>
        <w:pStyle w:val="BodyText"/>
      </w:pPr>
      <w:r>
        <w:t xml:space="preserve">Vendor shall defend, indemnify, and hold harmless Customer against any third-party claim that the Software as provided by Vendor infringes any UK patent, copyright, trademark, or trade secret, provided that Customer: (a) promptly notifies Vendor in writing of the claim; (b) gives Vendor sole control of the defence; and (c) provides reasonable assistance. This clause states Vendor’s entire liability and Customer’s sole remedy for intellectual property infringement claims.</w:t>
      </w:r>
    </w:p>
    <w:p>
      <w:pPr>
        <w:pStyle w:val="BodyText"/>
      </w:pPr>
      <w:r>
        <w:rPr>
          <w:b/>
          <w:bCs/>
        </w:rPr>
        <w:t xml:space="preserve">11. Term and Termination</w:t>
      </w:r>
    </w:p>
    <w:p>
      <w:pPr>
        <w:pStyle w:val="BodyText"/>
      </w:pPr>
      <w:r>
        <w:t xml:space="preserve">This Agreement shall commence on the start date specified in the Order Form and continue for the Subscription Term. Either Party may terminate this Agreement: (a) on written notice if the other Party materially breaches this Agreement and fails to cure such breach within thirty (30) days of written notice; or (b) immediately if the other Party becomes insolvent, enters administration, or an analogous event occurs. On termination, Customer’s access to the Software shall cease and each Party shall return or destroy the other’s Confidential Information.</w:t>
      </w:r>
    </w:p>
    <w:p>
      <w:pPr>
        <w:pStyle w:val="BodyText"/>
      </w:pPr>
      <w:r>
        <w:rPr>
          <w:b/>
          <w:bCs/>
        </w:rPr>
        <w:t xml:space="preserve">12. Governing Law</w:t>
      </w:r>
    </w:p>
    <w:p>
      <w:pPr>
        <w:pStyle w:val="BodyText"/>
      </w:pPr>
      <w:r>
        <w:t xml:space="preserve">This Agreement shall be governed by the laws of England and Wales. The Parties submit to the exclusive jurisdiction of the courts of England and Wales.</w:t>
      </w:r>
    </w:p>
    <w:p>
      <w:pPr>
        <w:pStyle w:val="BodyText"/>
      </w:pPr>
      <w:r>
        <w:rPr>
          <w:b/>
          <w:bCs/>
        </w:rPr>
        <w:t xml:space="preserve">13. General</w:t>
      </w:r>
    </w:p>
    <w:p>
      <w:pPr>
        <w:pStyle w:val="BodyText"/>
      </w:pPr>
      <w:r>
        <w:t xml:space="preserve">This Agreement (together with the Order Form) constitutes the entire agreement between the Parties. In the event of conflict, the Order Form shall prevail over this Agreement. This Agreement may not be assigned by Customer without Vendor’s prior written consent. Notices must be in writing and delivered to the addresses specified in the Order Form.</w:t>
      </w:r>
    </w:p>
    <w:p>
      <w:r>
        <w:pict>
          <v:rect style="width:0;height:1.5pt" o:hralign="center" o:hrstd="t" o:hr="t"/>
        </w:pict>
      </w:r>
    </w:p>
    <w:bookmarkEnd w:id="52"/>
    <w:bookmarkStart w:id="53" w:name="pilot-agreement"/>
    <w:p>
      <w:pPr>
        <w:pStyle w:val="Heading3"/>
      </w:pPr>
      <w:r>
        <w:t xml:space="preserve">C. Pilot / Proof of Concept Agreement</w:t>
      </w:r>
    </w:p>
    <w:p>
      <w:pPr>
        <w:pStyle w:val="FirstParagraph"/>
      </w:pPr>
      <w:r>
        <w:rPr>
          <w:b/>
          <w:bCs/>
        </w:rPr>
        <w:t xml:space="preserve">PILOT / PROOF OF CONCEPT AGREEMENT</w:t>
      </w:r>
    </w:p>
    <w:p>
      <w:pPr>
        <w:pStyle w:val="BodyText"/>
      </w:pPr>
      <w:r>
        <w:t xml:space="preserve">This Pilot Agreement (</w:t>
      </w:r>
      <w:r>
        <w:t xml:space="preserve">“Agreement”</w:t>
      </w:r>
      <w:r>
        <w:t xml:space="preserve">) is entered into as of [DATE] between:</w:t>
      </w:r>
    </w:p>
    <w:p>
      <w:pPr>
        <w:pStyle w:val="BodyText"/>
      </w:pPr>
      <w:r>
        <w:rPr>
          <w:b/>
          <w:bCs/>
        </w:rPr>
        <w:t xml:space="preserve">[VENDOR NAME]</w:t>
      </w:r>
      <w:r>
        <w:t xml:space="preserve"> </w:t>
      </w:r>
      <w:r>
        <w:t xml:space="preserve">(</w:t>
      </w:r>
      <w:r>
        <w:t xml:space="preserve">“Vendor”</w:t>
      </w:r>
      <w:r>
        <w:t xml:space="preserve">); and</w:t>
      </w:r>
      <w:r>
        <w:t xml:space="preserve"> </w:t>
      </w:r>
      <w:r>
        <w:rPr>
          <w:b/>
          <w:bCs/>
        </w:rPr>
        <w:t xml:space="preserve">[CUSTOMER NAME]</w:t>
      </w:r>
      <w:r>
        <w:t xml:space="preserve"> </w:t>
      </w:r>
      <w:r>
        <w:t xml:space="preserve">(</w:t>
      </w:r>
      <w:r>
        <w:t xml:space="preserve">“Customer”</w:t>
      </w:r>
      <w:r>
        <w:t xml:space="preserve">).</w:t>
      </w:r>
    </w:p>
    <w:p>
      <w:r>
        <w:pict>
          <v:rect style="width:0;height:1.5pt" o:hralign="center" o:hrstd="t" o:hr="t"/>
        </w:pict>
      </w:r>
    </w:p>
    <w:p>
      <w:pPr>
        <w:pStyle w:val="FirstParagraph"/>
      </w:pPr>
      <w:r>
        <w:rPr>
          <w:b/>
          <w:bCs/>
        </w:rPr>
        <w:t xml:space="preserve">1. Purpose</w:t>
      </w:r>
    </w:p>
    <w:p>
      <w:pPr>
        <w:pStyle w:val="BodyText"/>
      </w:pPr>
      <w:r>
        <w:t xml:space="preserve">The Parties wish to conduct a time-limited evaluation of the Vendor’s software product (</w:t>
      </w:r>
      <w:r>
        <w:t xml:space="preserve">“[PRODUCT NAME]”</w:t>
      </w:r>
      <w:r>
        <w:t xml:space="preserve">) (the</w:t>
      </w:r>
      <w:r>
        <w:t xml:space="preserve"> </w:t>
      </w:r>
      <w:r>
        <w:t xml:space="preserve">“Pilot”</w:t>
      </w:r>
      <w:r>
        <w:t xml:space="preserve">) to assess its suitability for Customer’s requirements. This Agreement governs the Pilot.</w:t>
      </w:r>
    </w:p>
    <w:p>
      <w:pPr>
        <w:pStyle w:val="BodyText"/>
      </w:pPr>
      <w:r>
        <w:rPr>
          <w:b/>
          <w:bCs/>
        </w:rPr>
        <w:t xml:space="preserve">2. Pilot Term</w:t>
      </w:r>
    </w:p>
    <w:p>
      <w:pPr>
        <w:pStyle w:val="BodyText"/>
      </w:pPr>
      <w:r>
        <w:t xml:space="preserve">The Pilot shall commence on [START DATE] and shall continue for a period of ninety (90) days (the</w:t>
      </w:r>
      <w:r>
        <w:t xml:space="preserve"> </w:t>
      </w:r>
      <w:r>
        <w:t xml:space="preserve">“Pilot Term”</w:t>
      </w:r>
      <w:r>
        <w:t xml:space="preserve">), unless extended by mutual written agreement or earlier terminated as set out herein.</w:t>
      </w:r>
    </w:p>
    <w:p>
      <w:pPr>
        <w:pStyle w:val="BodyText"/>
      </w:pPr>
      <w:r>
        <w:rPr>
          <w:b/>
          <w:bCs/>
        </w:rPr>
        <w:t xml:space="preserve">3. Scope of Access</w:t>
      </w:r>
    </w:p>
    <w:p>
      <w:pPr>
        <w:pStyle w:val="BodyText"/>
      </w:pPr>
      <w:r>
        <w:t xml:space="preserve">During the Pilot Term, Vendor shall provide Customer with access to the Software for evaluation purposes only. The scope of access is as follows:</w:t>
      </w:r>
    </w:p>
    <w:p>
      <w:pPr>
        <w:pStyle w:val="Compact"/>
        <w:numPr>
          <w:ilvl w:val="0"/>
          <w:numId w:val="1019"/>
        </w:numPr>
      </w:pPr>
      <w:r>
        <w:t xml:space="preserve">Users: Up to [NUMBER] Authorised Users</w:t>
      </w:r>
    </w:p>
    <w:p>
      <w:pPr>
        <w:pStyle w:val="Compact"/>
        <w:numPr>
          <w:ilvl w:val="0"/>
          <w:numId w:val="1019"/>
        </w:numPr>
      </w:pPr>
      <w:r>
        <w:t xml:space="preserve">Environments: [DESCRIPTION OF TEST ENVIRONMENT]</w:t>
      </w:r>
    </w:p>
    <w:p>
      <w:pPr>
        <w:pStyle w:val="Compact"/>
        <w:numPr>
          <w:ilvl w:val="0"/>
          <w:numId w:val="1019"/>
        </w:numPr>
      </w:pPr>
      <w:r>
        <w:t xml:space="preserve">Data: Customer may use [real / anonymised / synthetic] data for evaluation purposes</w:t>
      </w:r>
    </w:p>
    <w:p>
      <w:pPr>
        <w:pStyle w:val="Compact"/>
        <w:numPr>
          <w:ilvl w:val="0"/>
          <w:numId w:val="1019"/>
        </w:numPr>
      </w:pPr>
      <w:r>
        <w:t xml:space="preserve">Features: [LIST OR</w:t>
      </w:r>
      <w:r>
        <w:t xml:space="preserve"> </w:t>
      </w:r>
      <w:r>
        <w:t xml:space="preserve">“Full product access”</w:t>
      </w:r>
      <w:r>
        <w:t xml:space="preserve"> </w:t>
      </w:r>
      <w:r>
        <w:t xml:space="preserve">or</w:t>
      </w:r>
      <w:r>
        <w:t xml:space="preserve"> </w:t>
      </w:r>
      <w:r>
        <w:t xml:space="preserve">“The following features: …”</w:t>
      </w:r>
      <w:r>
        <w:t xml:space="preserve">]</w:t>
      </w:r>
    </w:p>
    <w:p>
      <w:pPr>
        <w:pStyle w:val="FirstParagraph"/>
      </w:pPr>
      <w:r>
        <w:rPr>
          <w:b/>
          <w:bCs/>
        </w:rPr>
        <w:t xml:space="preserve">4. Success Criteria</w:t>
      </w:r>
    </w:p>
    <w:p>
      <w:pPr>
        <w:pStyle w:val="BodyText"/>
      </w:pPr>
      <w:r>
        <w:t xml:space="preserve">The Parties agree that the following measurable criteria (</w:t>
      </w:r>
      <w:r>
        <w:t xml:space="preserve">“Success Criteria”</w:t>
      </w:r>
      <w:r>
        <w:t xml:space="preserve">) will be used to evaluate the Pilot: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Measurement method</w:t>
            </w:r>
          </w:p>
        </w:tc>
        <w:tc>
          <w:tcPr/>
          <w:p>
            <w:pPr>
              <w:pStyle w:val="Compact"/>
            </w:pPr>
            <w:r>
              <w:t xml:space="preserve">Target</w:t>
            </w:r>
          </w:p>
        </w:tc>
      </w:tr>
      <w:tr>
        <w:tc>
          <w:tcPr/>
          <w:p>
            <w:pPr>
              <w:pStyle w:val="Compact"/>
            </w:pPr>
            <w:r>
              <w:t xml:space="preserve">[Criterion 1]</w:t>
            </w:r>
          </w:p>
        </w:tc>
        <w:tc>
          <w:tcPr/>
          <w:p>
            <w:pPr>
              <w:pStyle w:val="Compact"/>
            </w:pPr>
            <w:r>
              <w:t xml:space="preserve">[Method]</w:t>
            </w:r>
          </w:p>
        </w:tc>
        <w:tc>
          <w:tcPr/>
          <w:p>
            <w:pPr>
              <w:pStyle w:val="Compact"/>
            </w:pPr>
            <w:r>
              <w:t xml:space="preserve">[Target]</w:t>
            </w:r>
          </w:p>
        </w:tc>
      </w:tr>
      <w:tr>
        <w:tc>
          <w:tcPr/>
          <w:p>
            <w:pPr>
              <w:pStyle w:val="Compact"/>
            </w:pPr>
            <w:r>
              <w:t xml:space="preserve">[Criterion 2]</w:t>
            </w:r>
          </w:p>
        </w:tc>
        <w:tc>
          <w:tcPr/>
          <w:p>
            <w:pPr>
              <w:pStyle w:val="Compact"/>
            </w:pPr>
            <w:r>
              <w:t xml:space="preserve">[Method]</w:t>
            </w:r>
          </w:p>
        </w:tc>
        <w:tc>
          <w:tcPr/>
          <w:p>
            <w:pPr>
              <w:pStyle w:val="Compact"/>
            </w:pPr>
            <w:r>
              <w:t xml:space="preserve">[Target]</w:t>
            </w:r>
          </w:p>
        </w:tc>
      </w:tr>
      <w:tr>
        <w:tc>
          <w:tcPr/>
          <w:p>
            <w:pPr>
              <w:pStyle w:val="Compact"/>
            </w:pPr>
            <w:r>
              <w:t xml:space="preserve">[Criterion 3]</w:t>
            </w:r>
          </w:p>
        </w:tc>
        <w:tc>
          <w:tcPr/>
          <w:p>
            <w:pPr>
              <w:pStyle w:val="Compact"/>
            </w:pPr>
            <w:r>
              <w:t xml:space="preserve">[Method]</w:t>
            </w:r>
          </w:p>
        </w:tc>
        <w:tc>
          <w:tcPr/>
          <w:p>
            <w:pPr>
              <w:pStyle w:val="Compact"/>
            </w:pPr>
            <w:r>
              <w:t xml:space="preserve">[Target]</w:t>
            </w:r>
          </w:p>
        </w:tc>
      </w:tr>
    </w:tbl>
    <w:p>
      <w:pPr>
        <w:pStyle w:val="BodyText"/>
      </w:pPr>
      <w:r>
        <w:t xml:space="preserve">The Parties shall review progress against the Success Criteria at the mid-point of the Pilot Term (Day 45) and again at the end of the Pilot Term (Day 90).</w:t>
      </w:r>
    </w:p>
    <w:p>
      <w:pPr>
        <w:pStyle w:val="BodyText"/>
      </w:pPr>
      <w:r>
        <w:rPr>
          <w:b/>
          <w:bCs/>
        </w:rPr>
        <w:t xml:space="preserve">5. Fees</w:t>
      </w:r>
    </w:p>
    <w:p>
      <w:pPr>
        <w:pStyle w:val="BodyText"/>
      </w:pPr>
      <w:r>
        <w:t xml:space="preserve">The Pilot is provided at no charge. Customer acknowledges that the Pilot access is for evaluation purposes only and does not constitute a commercial deployment.</w:t>
      </w:r>
    </w:p>
    <w:p>
      <w:pPr>
        <w:pStyle w:val="BodyText"/>
      </w:pPr>
      <w:r>
        <w:rPr>
          <w:b/>
          <w:bCs/>
        </w:rPr>
        <w:t xml:space="preserve">6. Intellectual Property and Data</w:t>
      </w:r>
    </w:p>
    <w:p>
      <w:pPr>
        <w:pStyle w:val="BodyText"/>
      </w:pPr>
      <w:r>
        <w:t xml:space="preserve">All intellectual property in the Software remains with Vendor. All data inputted by Customer during the Pilot (</w:t>
      </w:r>
      <w:r>
        <w:t xml:space="preserve">“Customer Data”</w:t>
      </w:r>
      <w:r>
        <w:t xml:space="preserve">) remains the property of Customer. Vendor shall not use Customer Data for any purpose beyond providing access during the Pilot. On expiry or termination of the Pilot, Vendor shall delete or return Customer Data within thirty (30) days of a written request.</w:t>
      </w:r>
    </w:p>
    <w:p>
      <w:pPr>
        <w:pStyle w:val="BodyText"/>
      </w:pPr>
      <w:r>
        <w:rPr>
          <w:b/>
          <w:bCs/>
        </w:rPr>
        <w:t xml:space="preserve">7. Confidentiality</w:t>
      </w:r>
    </w:p>
    <w:p>
      <w:pPr>
        <w:pStyle w:val="BodyText"/>
      </w:pPr>
      <w:r>
        <w:t xml:space="preserve">All information exchanged by the Parties in connection with the Pilot is Confidential Information subject to the terms of the NDA executed between the Parties on [DATE], or if no NDA is in place, each Party agrees to treat the other’s information as confidential and not to disclose it to third parties without prior written consent.</w:t>
      </w:r>
    </w:p>
    <w:p>
      <w:pPr>
        <w:pStyle w:val="BodyText"/>
      </w:pPr>
      <w:r>
        <w:rPr>
          <w:b/>
          <w:bCs/>
        </w:rPr>
        <w:t xml:space="preserve">8. No Warranties</w:t>
      </w:r>
    </w:p>
    <w:p>
      <w:pPr>
        <w:pStyle w:val="BodyText"/>
      </w:pPr>
      <w:r>
        <w:t xml:space="preserve">The Software is provided</w:t>
      </w:r>
      <w:r>
        <w:t xml:space="preserve"> </w:t>
      </w:r>
      <w:r>
        <w:t xml:space="preserve">“as is”</w:t>
      </w:r>
      <w:r>
        <w:t xml:space="preserve"> </w:t>
      </w:r>
      <w:r>
        <w:t xml:space="preserve">during the Pilot Term. Vendor makes no warranties, express or implied, regarding the Software’s fitness for purpose, accuracy, or availability during the Pilot.</w:t>
      </w:r>
    </w:p>
    <w:p>
      <w:pPr>
        <w:pStyle w:val="BodyText"/>
      </w:pPr>
      <w:r>
        <w:rPr>
          <w:b/>
          <w:bCs/>
        </w:rPr>
        <w:t xml:space="preserve">9. Limitation of Liability</w:t>
      </w:r>
    </w:p>
    <w:p>
      <w:pPr>
        <w:pStyle w:val="BodyText"/>
      </w:pPr>
      <w:r>
        <w:t xml:space="preserve">Vendor’s total liability to Customer arising out of or in connection with the Pilot shall not exceed £[AMOUNT]. Neither Party shall be liable for indirect or consequential loss.</w:t>
      </w:r>
    </w:p>
    <w:p>
      <w:pPr>
        <w:pStyle w:val="BodyText"/>
      </w:pPr>
      <w:r>
        <w:rPr>
          <w:b/>
          <w:bCs/>
        </w:rPr>
        <w:t xml:space="preserve">10. Conversion to Commercial Agreement</w:t>
      </w:r>
    </w:p>
    <w:p>
      <w:pPr>
        <w:pStyle w:val="BodyText"/>
      </w:pPr>
      <w:r>
        <w:t xml:space="preserve">If Customer wishes to proceed to a commercial subscription following the Pilot, the Parties shall negotiate in good faith and enter into a Software Subscription Licence Agreement. Participation in the Pilot does not obligate Customer to enter into any commercial agreement. Vendor shall provide a commercial proposal no later than fourteen (14) days before the end of the Pilot Term.</w:t>
      </w:r>
    </w:p>
    <w:p>
      <w:pPr>
        <w:pStyle w:val="BodyText"/>
      </w:pPr>
      <w:r>
        <w:rPr>
          <w:b/>
          <w:bCs/>
        </w:rPr>
        <w:t xml:space="preserve">11. Termination</w:t>
      </w:r>
    </w:p>
    <w:p>
      <w:pPr>
        <w:pStyle w:val="BodyText"/>
      </w:pPr>
      <w:r>
        <w:t xml:space="preserve">Either Party may terminate this Agreement on seven (7) days’ written notice. On termination, Customer’s access to the Software shall cease immediately.</w:t>
      </w:r>
    </w:p>
    <w:p>
      <w:pPr>
        <w:pStyle w:val="BodyText"/>
      </w:pPr>
      <w:r>
        <w:rPr>
          <w:b/>
          <w:bCs/>
        </w:rPr>
        <w:t xml:space="preserve">12. Governing Law</w:t>
      </w:r>
    </w:p>
    <w:p>
      <w:pPr>
        <w:pStyle w:val="BodyText"/>
      </w:pPr>
      <w:r>
        <w:t xml:space="preserve">This Agreement is governed by the laws of England and Wales.</w:t>
      </w:r>
    </w:p>
    <w:p>
      <w:r>
        <w:pict>
          <v:rect style="width:0;height:1.5pt" o:hralign="center" o:hrstd="t" o:hr="t"/>
        </w:pict>
      </w:r>
    </w:p>
    <w:p>
      <w:pPr>
        <w:pStyle w:val="FirstParagraph"/>
      </w:pPr>
      <w:r>
        <w:rPr>
          <w:b/>
          <w:bCs/>
        </w:rPr>
        <w:t xml:space="preserve">SIGNED</w:t>
      </w:r>
      <w:r>
        <w:t xml:space="preserve"> </w:t>
      </w:r>
      <w:r>
        <w:t xml:space="preserve">by the authorised representatives of both Parties:</w:t>
      </w:r>
    </w:p>
    <w:p>
      <w:pPr>
        <w:pStyle w:val="BodyText"/>
      </w:pPr>
      <w:r>
        <w:t xml:space="preserve">For</w:t>
      </w:r>
      <w:r>
        <w:t xml:space="preserve"> </w:t>
      </w:r>
      <w:r>
        <w:rPr>
          <w:b/>
          <w:bCs/>
        </w:rPr>
        <w:t xml:space="preserve">[VENDOR NAME]</w:t>
      </w:r>
      <w:r>
        <w:t xml:space="preserve">: _____________________________ Date: __________</w:t>
      </w:r>
    </w:p>
    <w:p>
      <w:pPr>
        <w:pStyle w:val="BodyText"/>
      </w:pPr>
      <w:r>
        <w:t xml:space="preserve">For</w:t>
      </w:r>
      <w:r>
        <w:t xml:space="preserve"> </w:t>
      </w:r>
      <w:r>
        <w:rPr>
          <w:b/>
          <w:bCs/>
        </w:rPr>
        <w:t xml:space="preserve">[CUSTOMER NAME]</w:t>
      </w:r>
      <w:r>
        <w:t xml:space="preserve">: _____________________________ Date: __________</w:t>
      </w:r>
    </w:p>
    <w:p>
      <w:r>
        <w:pict>
          <v:rect style="width:0;height:1.5pt" o:hralign="center" o:hrstd="t" o:hr="t"/>
        </w:pict>
      </w:r>
    </w:p>
    <w:bookmarkEnd w:id="53"/>
    <w:bookmarkStart w:id="54" w:name="dpa"/>
    <w:p>
      <w:pPr>
        <w:pStyle w:val="Heading3"/>
      </w:pPr>
      <w:r>
        <w:t xml:space="preserve">D. Data Processing Agreement</w:t>
      </w:r>
    </w:p>
    <w:p>
      <w:pPr>
        <w:pStyle w:val="FirstParagraph"/>
      </w:pPr>
      <w:r>
        <w:rPr>
          <w:b/>
          <w:bCs/>
        </w:rPr>
        <w:t xml:space="preserve">DATA PROCESSING AGREEMENT</w:t>
      </w:r>
    </w:p>
    <w:p>
      <w:pPr>
        <w:pStyle w:val="BodyText"/>
      </w:pPr>
      <w:r>
        <w:t xml:space="preserve">This Data Processing Agreement (</w:t>
      </w:r>
      <w:r>
        <w:t xml:space="preserve">“DPA”</w:t>
      </w:r>
      <w:r>
        <w:t xml:space="preserve">) is entered into as of [DATE] and forms part of the Software Subscription Licence Agreement (or Pilot Agreement) between:</w:t>
      </w:r>
    </w:p>
    <w:p>
      <w:pPr>
        <w:pStyle w:val="BodyText"/>
      </w:pPr>
      <w:r>
        <w:rPr>
          <w:b/>
          <w:bCs/>
        </w:rPr>
        <w:t xml:space="preserve">[VENDOR NAME]</w:t>
      </w:r>
      <w:r>
        <w:t xml:space="preserve"> </w:t>
      </w:r>
      <w:r>
        <w:t xml:space="preserve">(</w:t>
      </w:r>
      <w:r>
        <w:t xml:space="preserve">“Processor”</w:t>
      </w:r>
      <w:r>
        <w:t xml:space="preserve">); and</w:t>
      </w:r>
      <w:r>
        <w:t xml:space="preserve"> </w:t>
      </w:r>
      <w:r>
        <w:rPr>
          <w:b/>
          <w:bCs/>
        </w:rPr>
        <w:t xml:space="preserve">[CUSTOMER NAME]</w:t>
      </w:r>
      <w:r>
        <w:t xml:space="preserve"> </w:t>
      </w:r>
      <w:r>
        <w:t xml:space="preserve">(</w:t>
      </w:r>
      <w:r>
        <w:t xml:space="preserve">“Controller”</w:t>
      </w:r>
      <w:r>
        <w:t xml:space="preserve">).</w:t>
      </w:r>
    </w:p>
    <w:p>
      <w:r>
        <w:pict>
          <v:rect style="width:0;height:1.5pt" o:hralign="center" o:hrstd="t" o:hr="t"/>
        </w:pict>
      </w:r>
    </w:p>
    <w:p>
      <w:pPr>
        <w:pStyle w:val="FirstParagraph"/>
      </w:pPr>
      <w:r>
        <w:rPr>
          <w:b/>
          <w:bCs/>
        </w:rPr>
        <w:t xml:space="preserve">1. Background and Roles</w:t>
      </w:r>
    </w:p>
    <w:p>
      <w:pPr>
        <w:pStyle w:val="BodyText"/>
      </w:pPr>
      <w:r>
        <w:t xml:space="preserve">In connection with the services provided by Processor under the Main Agreement, Processor will process personal data on behalf of Controller. For the purposes of UK GDPR and the Data Protection Act 2018:</w:t>
      </w:r>
    </w:p>
    <w:p>
      <w:pPr>
        <w:pStyle w:val="Compact"/>
        <w:numPr>
          <w:ilvl w:val="0"/>
          <w:numId w:val="1020"/>
        </w:numPr>
      </w:pPr>
      <w:r>
        <w:t xml:space="preserve">Controller determines the purposes and means of the processing of personal data;</w:t>
      </w:r>
    </w:p>
    <w:p>
      <w:pPr>
        <w:pStyle w:val="Compact"/>
        <w:numPr>
          <w:ilvl w:val="0"/>
          <w:numId w:val="1020"/>
        </w:numPr>
      </w:pPr>
      <w:r>
        <w:t xml:space="preserve">Processor processes personal data only on behalf of the Controller and in accordance with the Controller’s documented instructions.</w:t>
      </w:r>
    </w:p>
    <w:p>
      <w:pPr>
        <w:pStyle w:val="FirstParagraph"/>
      </w:pPr>
      <w:r>
        <w:rPr>
          <w:b/>
          <w:bCs/>
        </w:rPr>
        <w:t xml:space="preserve">2. Processing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Details</w:t>
            </w:r>
          </w:p>
        </w:tc>
      </w:tr>
      <w:tr>
        <w:tc>
          <w:tcPr/>
          <w:p>
            <w:pPr>
              <w:pStyle w:val="Compact"/>
            </w:pPr>
            <w:r>
              <w:rPr>
                <w:b/>
                <w:bCs/>
              </w:rPr>
              <w:t xml:space="preserve">Subject matter</w:t>
            </w:r>
          </w:p>
        </w:tc>
        <w:tc>
          <w:tcPr/>
          <w:p>
            <w:pPr>
              <w:pStyle w:val="Compact"/>
            </w:pPr>
            <w:r>
              <w:t xml:space="preserve">Personal data processed in connection with [PRODUCT NAME]</w:t>
            </w:r>
          </w:p>
        </w:tc>
      </w:tr>
      <w:tr>
        <w:tc>
          <w:tcPr/>
          <w:p>
            <w:pPr>
              <w:pStyle w:val="Compact"/>
            </w:pPr>
            <w:r>
              <w:rPr>
                <w:b/>
                <w:bCs/>
              </w:rPr>
              <w:t xml:space="preserve">Duration</w:t>
            </w:r>
          </w:p>
        </w:tc>
        <w:tc>
          <w:tcPr/>
          <w:p>
            <w:pPr>
              <w:pStyle w:val="Compact"/>
            </w:pPr>
            <w:r>
              <w:t xml:space="preserve">For the term of the Main Agreement</w:t>
            </w:r>
          </w:p>
        </w:tc>
      </w:tr>
      <w:tr>
        <w:tc>
          <w:tcPr/>
          <w:p>
            <w:pPr>
              <w:pStyle w:val="Compact"/>
            </w:pPr>
            <w:r>
              <w:rPr>
                <w:b/>
                <w:bCs/>
              </w:rPr>
              <w:t xml:space="preserve">Nature and purpose</w:t>
            </w:r>
          </w:p>
        </w:tc>
        <w:tc>
          <w:tcPr/>
          <w:p>
            <w:pPr>
              <w:pStyle w:val="Compact"/>
            </w:pPr>
            <w:r>
              <w:t xml:space="preserve">[e.g., Storage, analysis, and display of operational data]</w:t>
            </w:r>
          </w:p>
        </w:tc>
      </w:tr>
      <w:tr>
        <w:tc>
          <w:tcPr/>
          <w:p>
            <w:pPr>
              <w:pStyle w:val="Compact"/>
            </w:pPr>
            <w:r>
              <w:rPr>
                <w:b/>
                <w:bCs/>
              </w:rPr>
              <w:t xml:space="preserve">Types of personal data</w:t>
            </w:r>
          </w:p>
        </w:tc>
        <w:tc>
          <w:tcPr/>
          <w:p>
            <w:pPr>
              <w:pStyle w:val="Compact"/>
            </w:pPr>
            <w:r>
              <w:t xml:space="preserve">[e.g., Names, email addresses, job titles, usage data]</w:t>
            </w:r>
          </w:p>
        </w:tc>
      </w:tr>
      <w:tr>
        <w:tc>
          <w:tcPr/>
          <w:p>
            <w:pPr>
              <w:pStyle w:val="Compact"/>
            </w:pPr>
            <w:r>
              <w:rPr>
                <w:b/>
                <w:bCs/>
              </w:rPr>
              <w:t xml:space="preserve">Categories of data subjects</w:t>
            </w:r>
          </w:p>
        </w:tc>
        <w:tc>
          <w:tcPr/>
          <w:p>
            <w:pPr>
              <w:pStyle w:val="Compact"/>
            </w:pPr>
            <w:r>
              <w:t xml:space="preserve">[e.g., Customer’s employees, contacts]</w:t>
            </w:r>
          </w:p>
        </w:tc>
      </w:tr>
    </w:tbl>
    <w:p>
      <w:pPr>
        <w:pStyle w:val="BodyText"/>
      </w:pPr>
      <w:r>
        <w:rPr>
          <w:b/>
          <w:bCs/>
        </w:rPr>
        <w:t xml:space="preserve">3. Processor Obligations</w:t>
      </w:r>
    </w:p>
    <w:p>
      <w:pPr>
        <w:pStyle w:val="BodyText"/>
      </w:pPr>
      <w:r>
        <w:t xml:space="preserve">Processor shall:</w:t>
      </w:r>
    </w:p>
    <w:p>
      <w:pPr>
        <w:numPr>
          <w:ilvl w:val="0"/>
          <w:numId w:val="1021"/>
        </w:numPr>
      </w:pPr>
      <w:r>
        <w:t xml:space="preserve">Process personal data only in accordance with Controller’s documented instructions, unless required to do so by applicable law (in which case Processor shall, to the extent permitted by law, inform Controller of such requirement before processing);</w:t>
      </w:r>
    </w:p>
    <w:p>
      <w:pPr>
        <w:numPr>
          <w:ilvl w:val="0"/>
          <w:numId w:val="1021"/>
        </w:numPr>
      </w:pPr>
      <w:r>
        <w:t xml:space="preserve">Ensure that all persons authorised to process personal data are subject to appropriate confidentiality obligations;</w:t>
      </w:r>
    </w:p>
    <w:p>
      <w:pPr>
        <w:numPr>
          <w:ilvl w:val="0"/>
          <w:numId w:val="1021"/>
        </w:numPr>
      </w:pPr>
      <w:r>
        <w:t xml:space="preserve">Implement and maintain appropriate technical and organisational measures to ensure a level of security appropriate to the risk, including as appropriate: encryption of personal data at rest and in transit; ability to ensure ongoing confidentiality, integrity, availability, and resilience of processing systems; process for regularly testing and evaluating effectiveness of security measures;</w:t>
      </w:r>
    </w:p>
    <w:p>
      <w:pPr>
        <w:numPr>
          <w:ilvl w:val="0"/>
          <w:numId w:val="1021"/>
        </w:numPr>
      </w:pPr>
      <w:r>
        <w:t xml:space="preserve">Not engage sub-processors without Controller’s prior written consent (general or specific). Current sub-processors are listed in Schedule 1. Processor shall give Controller reasonable notice of any changes to its sub-processor list;</w:t>
      </w:r>
    </w:p>
    <w:p>
      <w:pPr>
        <w:numPr>
          <w:ilvl w:val="0"/>
          <w:numId w:val="1021"/>
        </w:numPr>
      </w:pPr>
      <w:r>
        <w:t xml:space="preserve">Assist Controller in ensuring compliance with Controller’s obligations regarding: data subject rights (access, erasure, restriction, portability, objection); security of processing; notification of personal data breaches; data protection impact assessments;</w:t>
      </w:r>
    </w:p>
    <w:p>
      <w:pPr>
        <w:numPr>
          <w:ilvl w:val="0"/>
          <w:numId w:val="1021"/>
        </w:numPr>
      </w:pPr>
      <w:r>
        <w:t xml:space="preserve">Notify Controller without undue delay (and in any event within 48 hours) upon becoming aware of a personal data breach involving Controller’s personal data;</w:t>
      </w:r>
    </w:p>
    <w:p>
      <w:pPr>
        <w:numPr>
          <w:ilvl w:val="0"/>
          <w:numId w:val="1021"/>
        </w:numPr>
      </w:pPr>
      <w:r>
        <w:t xml:space="preserve">At Controller’s choice, delete or return all personal data to Controller upon termination of the Main Agreement and certify such deletion in writing.</w:t>
      </w:r>
    </w:p>
    <w:p>
      <w:pPr>
        <w:pStyle w:val="FirstParagraph"/>
      </w:pPr>
      <w:r>
        <w:rPr>
          <w:b/>
          <w:bCs/>
        </w:rPr>
        <w:t xml:space="preserve">4. Controller Obligations</w:t>
      </w:r>
    </w:p>
    <w:p>
      <w:pPr>
        <w:pStyle w:val="BodyText"/>
      </w:pPr>
      <w:r>
        <w:t xml:space="preserve">Controller warrants that it has the legal basis necessary to transfer personal data to Processor for the purposes contemplated by this DPA, and that its instructions comply with applicable data protection law.</w:t>
      </w:r>
    </w:p>
    <w:p>
      <w:pPr>
        <w:pStyle w:val="BodyText"/>
      </w:pPr>
      <w:r>
        <w:rPr>
          <w:b/>
          <w:bCs/>
        </w:rPr>
        <w:t xml:space="preserve">5. International Transfers</w:t>
      </w:r>
    </w:p>
    <w:p>
      <w:pPr>
        <w:pStyle w:val="BodyText"/>
      </w:pPr>
      <w:r>
        <w:t xml:space="preserve">Processor shall not transfer personal data outside the UK or European Economic Area without the prior written consent of Controller, except: (a) to countries that have been granted adequacy status; or (b) where appropriate safeguards (such as standard contractual clauses) are in place.</w:t>
      </w:r>
    </w:p>
    <w:p>
      <w:pPr>
        <w:pStyle w:val="BodyText"/>
      </w:pPr>
      <w:r>
        <w:rPr>
          <w:b/>
          <w:bCs/>
        </w:rPr>
        <w:t xml:space="preserve">6. Audits</w:t>
      </w:r>
    </w:p>
    <w:p>
      <w:pPr>
        <w:pStyle w:val="BodyText"/>
      </w:pPr>
      <w:r>
        <w:t xml:space="preserve">Processor shall make available to Controller all information reasonably necessary to demonstrate compliance with this DPA, and shall allow for and contribute to audits conducted by Controller or an auditor mandated by Controller, on reasonable notice and subject to confidentiality obligations.</w:t>
      </w:r>
    </w:p>
    <w:p>
      <w:pPr>
        <w:pStyle w:val="BodyText"/>
      </w:pPr>
      <w:r>
        <w:rPr>
          <w:b/>
          <w:bCs/>
        </w:rPr>
        <w:t xml:space="preserve">7. Liability</w:t>
      </w:r>
    </w:p>
    <w:p>
      <w:pPr>
        <w:pStyle w:val="BodyText"/>
      </w:pPr>
      <w:r>
        <w:t xml:space="preserve">Each Party’s liability under this DPA is subject to the limitations set out in the Main Agreement.</w:t>
      </w:r>
    </w:p>
    <w:p>
      <w:pPr>
        <w:pStyle w:val="BodyText"/>
      </w:pPr>
      <w:r>
        <w:rPr>
          <w:b/>
          <w:bCs/>
        </w:rPr>
        <w:t xml:space="preserve">8. Schedule 1 —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w:t>
            </w:r>
          </w:p>
        </w:tc>
        <w:tc>
          <w:tcPr/>
          <w:p>
            <w:pPr>
              <w:pStyle w:val="Compact"/>
            </w:pPr>
            <w:r>
              <w:t xml:space="preserve">Purpose</w:t>
            </w:r>
          </w:p>
        </w:tc>
        <w:tc>
          <w:tcPr/>
          <w:p>
            <w:pPr>
              <w:pStyle w:val="Compact"/>
            </w:pPr>
            <w:r>
              <w:t xml:space="preserve">Location</w:t>
            </w:r>
          </w:p>
        </w:tc>
      </w:tr>
      <w:tr>
        <w:tc>
          <w:tcPr/>
          <w:p>
            <w:pPr>
              <w:pStyle w:val="Compact"/>
            </w:pPr>
            <w:r>
              <w:t xml:space="preserve">[e.g., AWS / GCP / Azure]</w:t>
            </w:r>
          </w:p>
        </w:tc>
        <w:tc>
          <w:tcPr/>
          <w:p>
            <w:pPr>
              <w:pStyle w:val="Compact"/>
            </w:pPr>
            <w:r>
              <w:t xml:space="preserve">Cloud hosting and infrastructure</w:t>
            </w:r>
          </w:p>
        </w:tc>
        <w:tc>
          <w:tcPr/>
          <w:p>
            <w:pPr>
              <w:pStyle w:val="Compact"/>
            </w:pPr>
            <w:r>
              <w:t xml:space="preserve">[UK / EU / US + Standard Contractual Clauses]</w:t>
            </w:r>
          </w:p>
        </w:tc>
      </w:tr>
      <w:tr>
        <w:tc>
          <w:tcPr/>
          <w:p>
            <w:pPr>
              <w:pStyle w:val="Compact"/>
            </w:pPr>
            <w:r>
              <w:t xml:space="preserve">[e.g., Support tooling]</w:t>
            </w:r>
          </w:p>
        </w:tc>
        <w:tc>
          <w:tcPr/>
          <w:p>
            <w:pPr>
              <w:pStyle w:val="Compact"/>
            </w:pPr>
            <w:r>
              <w:t xml:space="preserve">Customer support</w:t>
            </w:r>
          </w:p>
        </w:tc>
        <w:tc>
          <w:tcPr/>
          <w:p>
            <w:pPr>
              <w:pStyle w:val="Compact"/>
            </w:pPr>
            <w:r>
              <w:t xml:space="preserve">[Location]</w:t>
            </w:r>
          </w:p>
        </w:tc>
      </w:tr>
    </w:tbl>
    <w:p>
      <w:pPr>
        <w:pStyle w:val="BodyText"/>
      </w:pPr>
      <w:r>
        <w:rPr>
          <w:i/>
          <w:iCs/>
        </w:rPr>
        <w:t xml:space="preserve">Controller grants general authorisation for the sub-processors listed above. Processor shall notify Controller at least 30 days in advance of any intended changes.</w:t>
      </w:r>
    </w:p>
    <w:p>
      <w:r>
        <w:pict>
          <v:rect style="width:0;height:1.5pt" o:hralign="center" o:hrstd="t" o:hr="t"/>
        </w:pict>
      </w:r>
    </w:p>
    <w:bookmarkEnd w:id="54"/>
    <w:bookmarkStart w:id="55" w:name="commercial-summary"/>
    <w:p>
      <w:pPr>
        <w:pStyle w:val="Heading3"/>
      </w:pPr>
      <w:r>
        <w:t xml:space="preserve">E. One-Page Commercial Summary</w:t>
      </w:r>
    </w:p>
    <w:p>
      <w:pPr>
        <w:pStyle w:val="FirstParagraph"/>
      </w:pPr>
      <w:r>
        <w:rPr>
          <w:b/>
          <w:bCs/>
        </w:rPr>
        <w:t xml:space="preserve">COMMERCIAL SUMMARY — DEAL TERMS</w:t>
      </w:r>
    </w:p>
    <w:p>
      <w:pPr>
        <w:pStyle w:val="BodyText"/>
      </w:pPr>
      <w:r>
        <w:rPr>
          <w:i/>
          <w:iCs/>
        </w:rPr>
        <w:t xml:space="preserve">This document is a summary for internal circulation only. It is not a legally binding agreement. The binding terms are set out in the Software Subscription Licence Agreement and Order Form.</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Vendor</w:t>
            </w:r>
          </w:p>
        </w:tc>
        <w:tc>
          <w:tcPr/>
          <w:p>
            <w:pPr>
              <w:pStyle w:val="Compact"/>
            </w:pPr>
            <w:r>
              <w:t xml:space="preserve">[VENDOR NAME], [ADDRESS]</w:t>
            </w:r>
          </w:p>
        </w:tc>
      </w:tr>
      <w:tr>
        <w:tc>
          <w:tcPr/>
          <w:p>
            <w:pPr>
              <w:pStyle w:val="Compact"/>
            </w:pPr>
            <w:r>
              <w:rPr>
                <w:b/>
                <w:bCs/>
              </w:rPr>
              <w:t xml:space="preserve">Customer</w:t>
            </w:r>
          </w:p>
        </w:tc>
        <w:tc>
          <w:tcPr/>
          <w:p>
            <w:pPr>
              <w:pStyle w:val="Compact"/>
            </w:pPr>
            <w:r>
              <w:t xml:space="preserve">[CUSTOMER NAME], [ADDRESS]</w:t>
            </w:r>
          </w:p>
        </w:tc>
      </w:tr>
      <w:tr>
        <w:tc>
          <w:tcPr/>
          <w:p>
            <w:pPr>
              <w:pStyle w:val="Compact"/>
            </w:pPr>
            <w:r>
              <w:rPr>
                <w:b/>
                <w:bCs/>
              </w:rPr>
              <w:t xml:space="preserve">Product</w:t>
            </w:r>
          </w:p>
        </w:tc>
        <w:tc>
          <w:tcPr/>
          <w:p>
            <w:pPr>
              <w:pStyle w:val="Compact"/>
            </w:pPr>
            <w:r>
              <w:t xml:space="preserve">[PRODUCT NAME] — [one-line description]</w:t>
            </w:r>
          </w:p>
        </w:tc>
      </w:tr>
    </w:tbl>
    <w:p>
      <w:r>
        <w:pict>
          <v:rect style="width:0;height:1.5pt" o:hralign="center" o:hrstd="t" o:hr="t"/>
        </w:pict>
      </w:r>
    </w:p>
    <w:p>
      <w:pPr>
        <w:pStyle w:val="FirstParagraph"/>
      </w:pPr>
      <w:r>
        <w:rPr>
          <w:b/>
          <w:bCs/>
        </w:rPr>
        <w:t xml:space="preserve">Commercial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Detail</w:t>
            </w:r>
          </w:p>
        </w:tc>
      </w:tr>
      <w:tr>
        <w:tc>
          <w:tcPr/>
          <w:p>
            <w:pPr>
              <w:pStyle w:val="Compact"/>
            </w:pPr>
            <w:r>
              <w:rPr>
                <w:b/>
                <w:bCs/>
              </w:rPr>
              <w:t xml:space="preserve">Annual Contract Value (ACV)</w:t>
            </w:r>
          </w:p>
        </w:tc>
        <w:tc>
          <w:tcPr/>
          <w:p>
            <w:pPr>
              <w:pStyle w:val="Compact"/>
            </w:pPr>
            <w:r>
              <w:t xml:space="preserve">£[AMOUNT]</w:t>
            </w:r>
          </w:p>
        </w:tc>
      </w:tr>
      <w:tr>
        <w:tc>
          <w:tcPr/>
          <w:p>
            <w:pPr>
              <w:pStyle w:val="Compact"/>
            </w:pPr>
            <w:r>
              <w:rPr>
                <w:b/>
                <w:bCs/>
              </w:rPr>
              <w:t xml:space="preserve">Payment terms</w:t>
            </w:r>
          </w:p>
        </w:tc>
        <w:tc>
          <w:tcPr/>
          <w:p>
            <w:pPr>
              <w:pStyle w:val="Compact"/>
            </w:pPr>
            <w:r>
              <w:t xml:space="preserve">Annual in advance / [Quarterly]</w:t>
            </w:r>
          </w:p>
        </w:tc>
      </w:tr>
      <w:tr>
        <w:tc>
          <w:tcPr/>
          <w:p>
            <w:pPr>
              <w:pStyle w:val="Compact"/>
            </w:pPr>
            <w:r>
              <w:rPr>
                <w:b/>
                <w:bCs/>
              </w:rPr>
              <w:t xml:space="preserve">Invoice date</w:t>
            </w:r>
          </w:p>
        </w:tc>
        <w:tc>
          <w:tcPr/>
          <w:p>
            <w:pPr>
              <w:pStyle w:val="Compact"/>
            </w:pPr>
            <w:r>
              <w:t xml:space="preserve">On contract execution (or [DATE])</w:t>
            </w:r>
          </w:p>
        </w:tc>
      </w:tr>
      <w:tr>
        <w:tc>
          <w:tcPr/>
          <w:p>
            <w:pPr>
              <w:pStyle w:val="Compact"/>
            </w:pPr>
            <w:r>
              <w:rPr>
                <w:b/>
                <w:bCs/>
              </w:rPr>
              <w:t xml:space="preserve">Contract start date</w:t>
            </w:r>
          </w:p>
        </w:tc>
        <w:tc>
          <w:tcPr/>
          <w:p>
            <w:pPr>
              <w:pStyle w:val="Compact"/>
            </w:pPr>
            <w:r>
              <w:t xml:space="preserve">[DATE]</w:t>
            </w:r>
          </w:p>
        </w:tc>
      </w:tr>
      <w:tr>
        <w:tc>
          <w:tcPr/>
          <w:p>
            <w:pPr>
              <w:pStyle w:val="Compact"/>
            </w:pPr>
            <w:r>
              <w:rPr>
                <w:b/>
                <w:bCs/>
              </w:rPr>
              <w:t xml:space="preserve">Initial term</w:t>
            </w:r>
          </w:p>
        </w:tc>
        <w:tc>
          <w:tcPr/>
          <w:p>
            <w:pPr>
              <w:pStyle w:val="Compact"/>
            </w:pPr>
            <w:r>
              <w:t xml:space="preserve">[1 / 2 / 3] year(s)</w:t>
            </w:r>
          </w:p>
        </w:tc>
      </w:tr>
      <w:tr>
        <w:tc>
          <w:tcPr/>
          <w:p>
            <w:pPr>
              <w:pStyle w:val="Compact"/>
            </w:pPr>
            <w:r>
              <w:rPr>
                <w:b/>
                <w:bCs/>
              </w:rPr>
              <w:t xml:space="preserve">Auto-renewal</w:t>
            </w:r>
          </w:p>
        </w:tc>
        <w:tc>
          <w:tcPr/>
          <w:p>
            <w:pPr>
              <w:pStyle w:val="Compact"/>
            </w:pPr>
            <w:r>
              <w:t xml:space="preserve">Yes — renews automatically for 1-year terms</w:t>
            </w:r>
          </w:p>
        </w:tc>
      </w:tr>
      <w:tr>
        <w:tc>
          <w:tcPr/>
          <w:p>
            <w:pPr>
              <w:pStyle w:val="Compact"/>
            </w:pPr>
            <w:r>
              <w:rPr>
                <w:b/>
                <w:bCs/>
              </w:rPr>
              <w:t xml:space="preserve">Notice to prevent renewal</w:t>
            </w:r>
          </w:p>
        </w:tc>
        <w:tc>
          <w:tcPr/>
          <w:p>
            <w:pPr>
              <w:pStyle w:val="Compact"/>
            </w:pPr>
            <w:r>
              <w:t xml:space="preserve">60 days before renewal date</w:t>
            </w:r>
          </w:p>
        </w:tc>
      </w:tr>
      <w:tr>
        <w:tc>
          <w:tcPr/>
          <w:p>
            <w:pPr>
              <w:pStyle w:val="Compact"/>
            </w:pPr>
            <w:r>
              <w:rPr>
                <w:b/>
                <w:bCs/>
              </w:rPr>
              <w:t xml:space="preserve">Price increase on renewal</w:t>
            </w:r>
          </w:p>
        </w:tc>
        <w:tc>
          <w:tcPr/>
          <w:p>
            <w:pPr>
              <w:pStyle w:val="Compact"/>
            </w:pPr>
            <w:r>
              <w:t xml:space="preserve">Capped at [5% / CPI]</w:t>
            </w:r>
          </w:p>
        </w:tc>
      </w:tr>
    </w:tbl>
    <w:p>
      <w:r>
        <w:pict>
          <v:rect style="width:0;height:1.5pt" o:hralign="center" o:hrstd="t" o:hr="t"/>
        </w:pict>
      </w:r>
    </w:p>
    <w:p>
      <w:pPr>
        <w:pStyle w:val="FirstParagraph"/>
      </w:pPr>
      <w:r>
        <w:rPr>
          <w:b/>
          <w:bCs/>
        </w:rPr>
        <w:t xml:space="preserve">Scope</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Authorised users</w:t>
            </w:r>
          </w:p>
        </w:tc>
        <w:tc>
          <w:tcPr/>
          <w:p>
            <w:pPr>
              <w:pStyle w:val="Compact"/>
            </w:pPr>
            <w:r>
              <w:t xml:space="preserve">[NUMBER]</w:t>
            </w:r>
          </w:p>
        </w:tc>
      </w:tr>
      <w:tr>
        <w:tc>
          <w:tcPr/>
          <w:p>
            <w:pPr>
              <w:pStyle w:val="Compact"/>
            </w:pPr>
            <w:r>
              <w:rPr>
                <w:b/>
                <w:bCs/>
              </w:rPr>
              <w:t xml:space="preserve">Included modules</w:t>
            </w:r>
          </w:p>
        </w:tc>
        <w:tc>
          <w:tcPr/>
          <w:p>
            <w:pPr>
              <w:pStyle w:val="Compact"/>
            </w:pPr>
            <w:r>
              <w:t xml:space="preserve">[LIST]</w:t>
            </w:r>
          </w:p>
        </w:tc>
      </w:tr>
      <w:tr>
        <w:tc>
          <w:tcPr/>
          <w:p>
            <w:pPr>
              <w:pStyle w:val="Compact"/>
            </w:pPr>
            <w:r>
              <w:rPr>
                <w:b/>
                <w:bCs/>
              </w:rPr>
              <w:t xml:space="preserve">Excluded / add-ons</w:t>
            </w:r>
          </w:p>
        </w:tc>
        <w:tc>
          <w:tcPr/>
          <w:p>
            <w:pPr>
              <w:pStyle w:val="Compact"/>
            </w:pPr>
            <w:r>
              <w:t xml:space="preserve">[LIST or</w:t>
            </w:r>
            <w:r>
              <w:t xml:space="preserve"> </w:t>
            </w:r>
            <w:r>
              <w:t xml:space="preserve">“None”</w:t>
            </w:r>
            <w:r>
              <w:t xml:space="preserve">]</w:t>
            </w:r>
          </w:p>
        </w:tc>
      </w:tr>
      <w:tr>
        <w:tc>
          <w:tcPr/>
          <w:p>
            <w:pPr>
              <w:pStyle w:val="Compact"/>
            </w:pPr>
            <w:r>
              <w:rPr>
                <w:b/>
                <w:bCs/>
              </w:rPr>
              <w:t xml:space="preserve">Implementation support</w:t>
            </w:r>
          </w:p>
        </w:tc>
        <w:tc>
          <w:tcPr/>
          <w:p>
            <w:pPr>
              <w:pStyle w:val="Compact"/>
            </w:pPr>
            <w:r>
              <w:t xml:space="preserve">[Included / [NUMBER] days at no charge]</w:t>
            </w:r>
          </w:p>
        </w:tc>
      </w:tr>
    </w:tbl>
    <w:p>
      <w:r>
        <w:pict>
          <v:rect style="width:0;height:1.5pt" o:hralign="center" o:hrstd="t" o:hr="t"/>
        </w:pict>
      </w:r>
    </w:p>
    <w:p>
      <w:pPr>
        <w:pStyle w:val="FirstParagraph"/>
      </w:pPr>
      <w:r>
        <w:rPr>
          <w:b/>
          <w:bCs/>
        </w:rPr>
        <w:t xml:space="preserve">Key 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Vendor</w:t>
            </w:r>
          </w:p>
        </w:tc>
        <w:tc>
          <w:tcPr/>
          <w:p>
            <w:pPr>
              <w:pStyle w:val="Compact"/>
            </w:pPr>
            <w:r>
              <w:t xml:space="preserve">Customer</w:t>
            </w:r>
          </w:p>
        </w:tc>
      </w:tr>
      <w:tr>
        <w:tc>
          <w:tcPr/>
          <w:p>
            <w:pPr>
              <w:pStyle w:val="Compact"/>
            </w:pPr>
            <w:r>
              <w:rPr>
                <w:b/>
                <w:bCs/>
              </w:rPr>
              <w:t xml:space="preserve">Commercial contact</w:t>
            </w:r>
          </w:p>
        </w:tc>
        <w:tc>
          <w:tcPr/>
          <w:p>
            <w:pPr>
              <w:pStyle w:val="Compact"/>
            </w:pPr>
            <w:r>
              <w:t xml:space="preserve">[NAME], [EMAIL]</w:t>
            </w:r>
          </w:p>
        </w:tc>
        <w:tc>
          <w:tcPr/>
          <w:p>
            <w:pPr>
              <w:pStyle w:val="Compact"/>
            </w:pPr>
            <w:r>
              <w:t xml:space="preserve">[NAME], [EMAIL]</w:t>
            </w:r>
          </w:p>
        </w:tc>
      </w:tr>
      <w:tr>
        <w:tc>
          <w:tcPr/>
          <w:p>
            <w:pPr>
              <w:pStyle w:val="Compact"/>
            </w:pPr>
            <w:r>
              <w:rPr>
                <w:b/>
                <w:bCs/>
              </w:rPr>
              <w:t xml:space="preserve">Technical contact</w:t>
            </w:r>
          </w:p>
        </w:tc>
        <w:tc>
          <w:tcPr/>
          <w:p>
            <w:pPr>
              <w:pStyle w:val="Compact"/>
            </w:pPr>
            <w:r>
              <w:t xml:space="preserve">[NAME], [EMAIL]</w:t>
            </w:r>
          </w:p>
        </w:tc>
        <w:tc>
          <w:tcPr/>
          <w:p>
            <w:pPr>
              <w:pStyle w:val="Compact"/>
            </w:pPr>
            <w:r>
              <w:t xml:space="preserve">[NAME], [EMAIL]</w:t>
            </w:r>
          </w:p>
        </w:tc>
      </w:tr>
      <w:tr>
        <w:tc>
          <w:tcPr/>
          <w:p>
            <w:pPr>
              <w:pStyle w:val="Compact"/>
            </w:pPr>
            <w:r>
              <w:rPr>
                <w:b/>
                <w:bCs/>
              </w:rPr>
              <w:t xml:space="preserve">Billing contact</w:t>
            </w:r>
          </w:p>
        </w:tc>
        <w:tc>
          <w:tcPr/>
          <w:p>
            <w:pPr>
              <w:pStyle w:val="Compact"/>
            </w:pPr>
            <w:r>
              <w:t xml:space="preserve">[NAME], [EMAIL]</w:t>
            </w:r>
          </w:p>
        </w:tc>
        <w:tc>
          <w:tcPr/>
          <w:p>
            <w:pPr>
              <w:pStyle w:val="Compact"/>
            </w:pPr>
            <w:r>
              <w:t xml:space="preserve">[NAME], [EMAIL]</w:t>
            </w:r>
          </w:p>
        </w:tc>
      </w:tr>
    </w:tbl>
    <w:p>
      <w:r>
        <w:pict>
          <v:rect style="width:0;height:1.5pt" o:hralign="center" o:hrstd="t" o:hr="t"/>
        </w:pict>
      </w:r>
    </w:p>
    <w:p>
      <w:pPr>
        <w:pStyle w:val="FirstParagraph"/>
      </w:pPr>
      <w:r>
        <w:rPr>
          <w:b/>
          <w:bCs/>
        </w:rPr>
        <w:t xml:space="preserve">Next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Owner</w:t>
            </w:r>
          </w:p>
        </w:tc>
        <w:tc>
          <w:tcPr/>
          <w:p>
            <w:pPr>
              <w:pStyle w:val="Compact"/>
            </w:pPr>
            <w:r>
              <w:t xml:space="preserve">Date</w:t>
            </w:r>
          </w:p>
        </w:tc>
      </w:tr>
      <w:tr>
        <w:tc>
          <w:tcPr/>
          <w:p>
            <w:pPr>
              <w:pStyle w:val="Compact"/>
            </w:pPr>
            <w:r>
              <w:t xml:space="preserve">Order Form sent</w:t>
            </w:r>
          </w:p>
        </w:tc>
        <w:tc>
          <w:tcPr/>
          <w:p>
            <w:pPr>
              <w:pStyle w:val="Compact"/>
            </w:pPr>
            <w:r>
              <w:t xml:space="preserve">Vendor</w:t>
            </w:r>
          </w:p>
        </w:tc>
        <w:tc>
          <w:tcPr/>
          <w:p>
            <w:pPr>
              <w:pStyle w:val="Compact"/>
            </w:pPr>
            <w:r>
              <w:t xml:space="preserve">[DATE]</w:t>
            </w:r>
          </w:p>
        </w:tc>
      </w:tr>
      <w:tr>
        <w:tc>
          <w:tcPr/>
          <w:p>
            <w:pPr>
              <w:pStyle w:val="Compact"/>
            </w:pPr>
            <w:r>
              <w:t xml:space="preserve">Legal review complete</w:t>
            </w:r>
          </w:p>
        </w:tc>
        <w:tc>
          <w:tcPr/>
          <w:p>
            <w:pPr>
              <w:pStyle w:val="Compact"/>
            </w:pPr>
            <w:r>
              <w:t xml:space="preserve">Customer</w:t>
            </w:r>
          </w:p>
        </w:tc>
        <w:tc>
          <w:tcPr/>
          <w:p>
            <w:pPr>
              <w:pStyle w:val="Compact"/>
            </w:pPr>
            <w:r>
              <w:t xml:space="preserve">[DATE]</w:t>
            </w:r>
          </w:p>
        </w:tc>
      </w:tr>
      <w:tr>
        <w:tc>
          <w:tcPr/>
          <w:p>
            <w:pPr>
              <w:pStyle w:val="Compact"/>
            </w:pPr>
            <w:r>
              <w:t xml:space="preserve">Contract signed</w:t>
            </w:r>
          </w:p>
        </w:tc>
        <w:tc>
          <w:tcPr/>
          <w:p>
            <w:pPr>
              <w:pStyle w:val="Compact"/>
            </w:pPr>
            <w:r>
              <w:t xml:space="preserve">Both</w:t>
            </w:r>
          </w:p>
        </w:tc>
        <w:tc>
          <w:tcPr/>
          <w:p>
            <w:pPr>
              <w:pStyle w:val="Compact"/>
            </w:pPr>
            <w:r>
              <w:t xml:space="preserve">[DATE]</w:t>
            </w:r>
          </w:p>
        </w:tc>
      </w:tr>
      <w:tr>
        <w:tc>
          <w:tcPr/>
          <w:p>
            <w:pPr>
              <w:pStyle w:val="Compact"/>
            </w:pPr>
            <w:r>
              <w:t xml:space="preserve">Access provisioned</w:t>
            </w:r>
          </w:p>
        </w:tc>
        <w:tc>
          <w:tcPr/>
          <w:p>
            <w:pPr>
              <w:pStyle w:val="Compact"/>
            </w:pPr>
            <w:r>
              <w:t xml:space="preserve">Vendor</w:t>
            </w:r>
          </w:p>
        </w:tc>
        <w:tc>
          <w:tcPr/>
          <w:p>
            <w:pPr>
              <w:pStyle w:val="Compact"/>
            </w:pPr>
            <w:r>
              <w:t xml:space="preserve">[DATE]</w:t>
            </w:r>
          </w:p>
        </w:tc>
      </w:tr>
    </w:tbl>
    <w:p>
      <w:r>
        <w:pict>
          <v:rect style="width:0;height:1.5pt" o:hralign="center" o:hrstd="t" o:hr="t"/>
        </w:pict>
      </w:r>
    </w:p>
    <w:p>
      <w:pPr>
        <w:pStyle w:val="FirstParagraph"/>
      </w:pPr>
      <w:r>
        <w:rPr>
          <w:i/>
          <w:iCs/>
        </w:rPr>
        <w:t xml:space="preserve">Questions? Contact [VENDOR COMMERCIAL CONTACT] at [EMAIL] or [PHONE].</w:t>
      </w:r>
    </w:p>
    <w:p>
      <w:r>
        <w:pict>
          <v:rect style="width:0;height:1.5pt" o:hralign="center" o:hrstd="t" o:hr="t"/>
        </w:pict>
      </w:r>
    </w:p>
    <w:p>
      <w:pPr>
        <w:pStyle w:val="FirstParagraph"/>
      </w:pPr>
      <w:r>
        <w:rPr>
          <w:i/>
          <w:iCs/>
        </w:rPr>
        <w:t xml:space="preserve">End of Salient: Enterprise Selling for STEM Founders</w:t>
      </w:r>
    </w:p>
    <w:p>
      <w:r>
        <w:pict>
          <v:rect style="width:0;height:1.5pt" o:hralign="center" o:hrstd="t" o:hr="t"/>
        </w:pict>
      </w:r>
    </w:p>
    <w:p>
      <w:pPr>
        <w:pStyle w:val="BlockText"/>
      </w:pPr>
      <w:r>
        <w:rPr>
          <w:b/>
          <w:bCs/>
        </w:rPr>
        <w:t xml:space="preserve">Converting to DOCX</w:t>
      </w:r>
    </w:p>
    <w:p>
      <w:pPr>
        <w:pStyle w:val="BlockText"/>
      </w:pPr>
      <w:r>
        <w:t xml:space="preserve">This document can be converted to a formatted Word document using pandoc:</w:t>
      </w:r>
    </w:p>
    <w:p>
      <w:pPr>
        <w:pStyle w:val="SourceCode"/>
      </w:pPr>
      <w:r>
        <w:rPr>
          <w:rStyle w:val="ExtensionTok"/>
        </w:rPr>
        <w:t xml:space="preserve">pandoc</w:t>
      </w:r>
      <w:r>
        <w:rPr>
          <w:rStyle w:val="NormalTok"/>
        </w:rPr>
        <w:t xml:space="preserve"> salient-book.md </w:t>
      </w:r>
      <w:r>
        <w:rPr>
          <w:rStyle w:val="AttributeTok"/>
        </w:rPr>
        <w:t xml:space="preserve">-o</w:t>
      </w:r>
      <w:r>
        <w:rPr>
          <w:rStyle w:val="NormalTok"/>
        </w:rPr>
        <w:t xml:space="preserve"> salient-book.docx </w:t>
      </w:r>
      <w:r>
        <w:rPr>
          <w:rStyle w:val="AttributeTok"/>
        </w:rPr>
        <w:t xml:space="preserve">--reference-doc</w:t>
      </w:r>
      <w:r>
        <w:rPr>
          <w:rStyle w:val="OperatorTok"/>
        </w:rPr>
        <w:t xml:space="preserve">=</w:t>
      </w:r>
      <w:r>
        <w:rPr>
          <w:rStyle w:val="NormalTok"/>
        </w:rPr>
        <w:t xml:space="preserve">reference.docx</w:t>
      </w:r>
    </w:p>
    <w:p>
      <w:pPr>
        <w:pStyle w:val="BlockText"/>
      </w:pPr>
      <w:r>
        <w:t xml:space="preserve">If you don’t have a reference.docx, run</w:t>
      </w:r>
      <w:r>
        <w:t xml:space="preserve"> </w:t>
      </w:r>
      <w:r>
        <w:rPr>
          <w:rStyle w:val="VerbatimChar"/>
        </w:rPr>
        <w:t xml:space="preserve">pandoc -o reference.docx --print-default-data-file reference.docx</w:t>
      </w:r>
      <w:r>
        <w:t xml:space="preserve"> </w:t>
      </w:r>
      <w:r>
        <w:t xml:space="preserve">to generate one, then customise the styles to match the house palette before converting.</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Salient: Enterprise Selling for STEM Founders</dc:title>
  <dc:creator>Sandy McKinnon with Claude</dc:creator>
  <cp:keywords/>
  <dcterms:created xsi:type="dcterms:W3CDTF">2026-07-01T05:47:20Z</dcterms:created>
  <dcterms:modified xsi:type="dcterms:W3CDTF">2026-07-01T05:47:20Z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What they don’t teach you when you leave the lab</vt:lpwstr>
  </property>
</Properties>
</file>