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37466" w14:textId="77777777" w:rsidR="00E62C3D" w:rsidRDefault="00000000">
      <w:r>
        <w:rPr>
          <w:rFonts w:ascii="Calibri" w:eastAsia="Calibri" w:hAnsi="Calibri" w:cs="Calibri"/>
          <w:b/>
          <w:bCs/>
          <w:color w:val="1F2A44"/>
          <w:sz w:val="34"/>
          <w:szCs w:val="34"/>
        </w:rPr>
        <w:t>SANDRA HERNÁNDEZ NOLASCO</w:t>
      </w:r>
    </w:p>
    <w:p w14:paraId="107563E5" w14:textId="5F758D1A" w:rsidR="00E62C3D" w:rsidRDefault="00000000">
      <w:pPr>
        <w:spacing w:after="100"/>
      </w:pPr>
      <w:r>
        <w:rPr>
          <w:rFonts w:ascii="Calibri" w:eastAsia="Calibri" w:hAnsi="Calibri" w:cs="Calibri"/>
          <w:b/>
          <w:bCs/>
          <w:color w:val="555555"/>
          <w:sz w:val="24"/>
          <w:szCs w:val="24"/>
        </w:rPr>
        <w:t>Growth Systems Strategist</w:t>
      </w:r>
      <w:r>
        <w:rPr>
          <w:rFonts w:ascii="Calibri" w:eastAsia="Calibri" w:hAnsi="Calibri" w:cs="Calibri"/>
          <w:color w:val="555555"/>
          <w:sz w:val="24"/>
          <w:szCs w:val="24"/>
        </w:rPr>
        <w:t xml:space="preserve"> | </w:t>
      </w:r>
      <w:r>
        <w:rPr>
          <w:rFonts w:ascii="Calibri" w:eastAsia="Calibri" w:hAnsi="Calibri" w:cs="Calibri"/>
          <w:color w:val="555555"/>
          <w:sz w:val="23"/>
          <w:szCs w:val="23"/>
        </w:rPr>
        <w:t>AI Search • SEO • Paid Media • Marketing Automation • Conversion Optimization</w:t>
      </w:r>
    </w:p>
    <w:p w14:paraId="30AC5CB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>Core Expertise</w:t>
      </w:r>
      <w:r>
        <w:rPr>
          <w:rFonts w:ascii="Calibri" w:eastAsia="Calibri" w:hAnsi="Calibri" w:cs="Calibri"/>
          <w:sz w:val="21"/>
          <w:szCs w:val="21"/>
        </w:rPr>
      </w:r>
    </w:p>
    <w:p w14:paraId="30AC5CB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</w:r>
      <w:r>
        <w:rPr>
          <w:rFonts w:ascii="Calibri" w:eastAsia="Calibri" w:hAnsi="Calibri" w:cs="Calibri"/>
          <w:sz w:val="21"/>
          <w:szCs w:val="21"/>
        </w:rPr>
        <w:t>AI Workflows • Lead Generation • Data Analytics • Research &amp; Insights • Growth Strategy</w:t>
      </w:r>
    </w:p>
    <w:p w14:paraId="1363D510" w14:textId="77777777" w:rsidR="00BB7EF8" w:rsidRPr="00BB7EF8" w:rsidRDefault="00BB7EF8" w:rsidP="00BB7EF8">
      <w:pPr>
        <w:pBdr>
          <w:bottom w:val="single" w:sz="6" w:space="1" w:color="CCCCCC"/>
        </w:pBdr>
        <w:spacing w:after="160"/>
        <w:rPr>
          <w:rFonts w:ascii="Calibri" w:eastAsia="Calibri" w:hAnsi="Calibri" w:cs="Calibri"/>
          <w:color w:val="555555"/>
          <w:sz w:val="18"/>
          <w:szCs w:val="18"/>
        </w:rPr>
      </w:pPr>
      <w:r>
        <w:rPr>
          <w:rFonts w:ascii="Calibri" w:eastAsia="Calibri" w:hAnsi="Calibri" w:cs="Calibri"/>
          <w:color w:val="555555"/>
          <w:sz w:val="18"/>
          <w:szCs w:val="18"/>
        </w:rPr>
        <w:t>+591 77643717 | sandy.nolasco@hotmail.com | linkedin.com/in/sandynolasco | github.com/Sandynolasco</w:t>
      </w:r>
    </w:p>
    <w:p w14:paraId="698D5B5C" w14:textId="77F17890" w:rsidR="00E62C3D" w:rsidRDefault="00BB7EF8" w:rsidP="00BB7EF8">
      <w:pPr>
        <w:pBdr>
          <w:bottom w:val="single" w:sz="6" w:space="1" w:color="CCCCCC"/>
        </w:pBdr>
        <w:spacing w:after="160"/>
      </w:pPr>
      <w:r>
        <w:rPr>
          <w:rFonts w:ascii="Calibri" w:eastAsia="Calibri" w:hAnsi="Calibri" w:cs="Calibri"/>
          <w:color w:val="555555"/>
          <w:sz w:val="18"/>
          <w:szCs w:val="18"/>
        </w:rPr>
        <w:t>Mexican, based in Bolivia — on-site/hybrid CDMX from Q4 2026 | Available remote now</w:t>
      </w:r>
    </w:p>
    <w:p w14:paraId="6EF6C48B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PROFESSIONAL SUMMARY</w:t>
      </w:r>
    </w:p>
    <w:p w14:paraId="0BDEFD76" w14:textId="77777777" w:rsidR="00E62C3D" w:rsidRDefault="00000000">
      <w:pPr>
        <w:spacing w:after="80"/>
      </w:pPr>
      <w:r>
        <w:rPr>
          <w:rFonts w:ascii="Calibri" w:eastAsia="Calibri" w:hAnsi="Calibri" w:cs="Calibri"/>
          <w:sz w:val="21"/>
          <w:szCs w:val="21"/>
        </w:rPr>
        <w:t>Growth Systems Strategist with 15+ years of experience across technology, digital transformation, marketing, and business optimization. Over the last four years, I have specialized in building measurable growth systems that connect AI, automation, analytics, SEO, paid media, and customer journey optimization to generate qualified leads and improve conversions. With a background in software development, business intelligence, and performance marketing, I combine technical expertise with hands-on execution across digital campaigns, funnels, content, email marketing, and marketing automation. I use a data-driven, test-and-learn approach to identify opportunities, optimize performance, and build scalable solutions that help businesses make smarter growth decisions.</w:t>
      </w:r>
    </w:p>
    <w:p w14:paraId="04AE602D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CORE COMPETENCIES</w:t>
      </w:r>
    </w:p>
    <w:p w14:paraId="30AC5CB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Growth Strategy: </w:t>
      </w:r>
      <w:r>
        <w:rPr>
          <w:rFonts w:ascii="Calibri" w:eastAsia="Calibri" w:hAnsi="Calibri" w:cs="Calibri"/>
          <w:sz w:val="21"/>
          <w:szCs w:val="21"/>
        </w:rPr>
        <w:t>Growth systems design, customer journey mapping, funnel optimization, creative experimentation, influencer &amp; partnership development</w:t>
      </w:r>
    </w:p>
    <w:p w14:paraId="5F6CAA92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Marketing &amp; Acquisition: </w:t>
      </w:r>
      <w:r>
        <w:rPr>
          <w:rFonts w:ascii="Calibri" w:eastAsia="Calibri" w:hAnsi="Calibri" w:cs="Calibri"/>
          <w:sz w:val="21"/>
          <w:szCs w:val="21"/>
        </w:rPr>
        <w:t>Email marketing, social growth, Google Ads, Facebook Ads, CRO, SEO, AI search optimization, copywriting &amp; storytelling</w:t>
      </w:r>
    </w:p>
    <w:p w14:paraId="66D88CB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Automation &amp; AI: </w:t>
      </w:r>
      <w:r>
        <w:rPr>
          <w:rFonts w:ascii="Calibri" w:eastAsia="Calibri" w:hAnsi="Calibri" w:cs="Calibri"/>
          <w:sz w:val="21"/>
          <w:szCs w:val="21"/>
        </w:rPr>
        <w:t>n8n, Make, Mailchimp, SendGrid, Systeme.io, AI chatbots, AI-assisted workflow design, prompt engineering</w:t>
      </w:r>
    </w:p>
    <w:p w14:paraId="1C9A1A2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Technology: </w:t>
      </w:r>
      <w:r>
        <w:rPr>
          <w:rFonts w:ascii="Calibri" w:eastAsia="Calibri" w:hAnsi="Calibri" w:cs="Calibri"/>
          <w:sz w:val="21"/>
          <w:szCs w:val="21"/>
        </w:rPr>
        <w:t>WordPress, HTML, CSS, JavaScript, PHP</w:t>
      </w:r>
    </w:p>
    <w:p w14:paraId="5EE8FD76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Analytics: </w:t>
      </w:r>
      <w:r>
        <w:rPr>
          <w:rFonts w:ascii="Calibri" w:eastAsia="Calibri" w:hAnsi="Calibri" w:cs="Calibri"/>
          <w:sz w:val="21"/>
          <w:szCs w:val="21"/>
        </w:rPr>
        <w:t>GA4, Power BI, SQL Server, data-driven reporting and case-study development</w:t>
      </w:r>
    </w:p>
    <w:p w14:paraId="30AC5CB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Enterprise Technology &amp; Data: </w:t>
      </w:r>
      <w:r>
        <w:rPr>
          <w:rFonts w:ascii="Calibri" w:eastAsia="Calibri" w:hAnsi="Calibri" w:cs="Calibri"/>
          <w:sz w:val="21"/>
          <w:szCs w:val="21"/>
        </w:rPr>
        <w:t>COBOL, IBM DB2, database management, data analytics, reporting and insights</w:t>
      </w:r>
    </w:p>
    <w:p w14:paraId="2B508EC8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PROFESSIONAL EXPERIENCE</w:t>
      </w:r>
    </w:p>
    <w:p w14:paraId="4C824C3F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>Founder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Better Way Studio  |  SCZ, Bo (Remote — USA, MX, CA clients)</w:t>
      </w:r>
      <w:r>
        <w:rPr>
          <w:rFonts w:ascii="Calibri" w:eastAsia="Calibri" w:hAnsi="Calibri" w:cs="Calibri"/>
          <w:i/>
          <w:iCs/>
          <w:color w:val="555555"/>
        </w:rPr>
        <w:tab/>
        <w:t>2024 – Present</w:t>
      </w:r>
    </w:p>
    <w:p w14:paraId="3DB3F291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Own social and email growth end to end for client brands: creative testing, copywriting, segmentation, and reporting, iterating on what performs.</w:t>
      </w:r>
    </w:p>
    <w:p w14:paraId="3B6D6ACF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Turn client results into case studies and story-driven content that show measurable impact and drive new business.</w:t>
      </w:r>
    </w:p>
    <w:p w14:paraId="6FA761A3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Manage Google Ads and Facebook Ads campaigns with a conversion-first, test-and-learn approach, tracking CPL, CTR, and ROAS to reallocate budget toward what converts.</w:t>
      </w:r>
    </w:p>
    <w:p w14:paraId="03598D46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Design AI-powered chatbots and n8n automations for lead capture and nurturing, integrated with email platforms (Mailchimp, SendGrid, Systeme.io).</w:t>
      </w:r>
    </w:p>
    <w:p w14:paraId="1D8D6F01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Front-end development (HTML, CSS, JavaScript) on WordPress/Elementor, optimizing site performance and technical SEO.</w:t>
      </w:r>
    </w:p>
    <w:p w14:paraId="55E83228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>Project Manager – Programmer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PERCEPTIE  |  Bolivia / EU (Remote)</w:t>
      </w:r>
      <w:r>
        <w:rPr>
          <w:rFonts w:ascii="Calibri" w:eastAsia="Calibri" w:hAnsi="Calibri" w:cs="Calibri"/>
          <w:i/>
          <w:iCs/>
          <w:color w:val="555555"/>
        </w:rPr>
        <w:tab/>
        <w:t>2019 – 2023</w:t>
      </w:r>
    </w:p>
    <w:p w14:paraId="47D91C98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Led UX/UI and development projects under Scrum and Design Thinking methodologies (Figma, Adobe XD).</w:t>
      </w:r>
    </w:p>
    <w:p w14:paraId="6F2ADAEB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Built Business Intelligence dashboards for HR, Logistics, and Sales (Power BI) that shaped go-to-market and operational decisions.</w:t>
      </w:r>
    </w:p>
    <w:p w14:paraId="5A1D5232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Designed email marketing strategies and launched advertising campaigns alongside product delivery.</w:t>
      </w:r>
    </w:p>
    <w:p w14:paraId="31E72680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>Reengineering Consultant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KIEV SRL  |  SCZ, Bo</w:t>
      </w:r>
      <w:r>
        <w:rPr>
          <w:rFonts w:ascii="Calibri" w:eastAsia="Calibri" w:hAnsi="Calibri" w:cs="Calibri"/>
          <w:i/>
          <w:iCs/>
          <w:color w:val="555555"/>
        </w:rPr>
        <w:tab/>
        <w:t>2016 – 2017</w:t>
      </w:r>
    </w:p>
    <w:p w14:paraId="0BBCCA47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Re-engineered the cash collection and reconciliation process for a nationwide ATM network, reducing operating losses.</w:t>
      </w:r>
    </w:p>
    <w:p w14:paraId="64A8CE19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Led service design, risk management, and quality assurance planning (SQL Server, WordPress, PMI).</w:t>
      </w:r>
    </w:p>
    <w:p w14:paraId="3AF779C9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>National IT Manager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Bahiti – Lotex (Gambling &amp; Slot Machine Operator)  |  La Paz, Bolivia (National)</w:t>
      </w:r>
      <w:r>
        <w:rPr>
          <w:rFonts w:ascii="Calibri" w:eastAsia="Calibri" w:hAnsi="Calibri" w:cs="Calibri"/>
          <w:i/>
          <w:iCs/>
          <w:color w:val="555555"/>
        </w:rPr>
        <w:tab/>
        <w:t>2006 – 2012</w:t>
      </w:r>
    </w:p>
    <w:p w14:paraId="4307F2A7" w14:textId="77777777" w:rsidR="00E62C3D" w:rsidRPr="00DA27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Led a nationwide team of 250 people (20 engineers and technicians), applying PMI project management principles to IT governance, security, and business continuity (ITIL, ISO).</w:t>
      </w:r>
    </w:p>
    <w:p w14:paraId="22F4DA52" w14:textId="77777777" w:rsidR="00E62C3D" w:rsidRPr="00DA27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lastRenderedPageBreak/>
        <w:t>Applied game theory to optimize slot machine profitability through strategic equipment repositioning and play-behavior analysis, generating $150,000+ USD in additional revenue, an unusual, highly quantifiable growth-optimization result.</w:t>
      </w:r>
    </w:p>
    <w:p w14:paraId="2668339D" w14:textId="77777777" w:rsidR="00E62C3D" w:rsidRPr="00DA27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Accelerated the nationwide opening of 7 gaming halls (1,000+ connected slot machines across Russia, Colombia, and Bolivia) and directed a 300+ camera surveillance program.</w:t>
      </w:r>
    </w:p>
    <w:p w14:paraId="0690CDE1" w14:textId="77777777" w:rsidR="00E62C3D" w:rsidRPr="00DA277C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Cut communications costs from $15,000 to $6,000 USD per month and reduced machine collection losses by 10% ($20,000 USD), while meeting monthly collection targets of $1M–$1.8M USD.</w:t>
      </w:r>
    </w:p>
    <w:p w14:paraId="7C36DAEB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>Earlier Roles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  GetYourBusiness, Microsoft/Cognos, Bahiti–Lotex (Service Engineer), and technical consulting in banking, pension funds, and energy  |  Bolivia / Chile / Mexico</w:t>
      </w:r>
      <w:r>
        <w:rPr>
          <w:rFonts w:ascii="Calibri" w:eastAsia="Calibri" w:hAnsi="Calibri" w:cs="Calibri"/>
          <w:i/>
          <w:iCs/>
          <w:color w:val="555555"/>
        </w:rPr>
        <w:tab/>
        <w:t>1995 – 2019</w:t>
      </w:r>
    </w:p>
    <w:p w14:paraId="5F7973B0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15+ years spanning software development, ERP/CRM implementation, and systems consulting. Configured Microsoft CRM Online and JD Edwards, migrating databases to SQL Server for banking client Banco Itaú (Chile). Embedded on-site at BBVA Bancomer (via Destra Consultores, transitioning to direct engagement for the final 3 months) and Afore Garante (via Manpower).</w:t>
      </w:r>
    </w:p>
    <w:p w14:paraId="5F7973B0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Validated large regulatory datasets for pension system reporting, where errors carried penalties of up to $350 USD per row — ensuring data accuracy for government compliance.</w:t>
      </w:r>
    </w:p>
    <w:p w14:paraId="5F7973B0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Additional consulting for Kinder Morgan. Full detail available upon request.</w:t>
      </w:r>
    </w:p>
    <w:p w14:paraId="51580CC4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EDUCATION &amp; CERTIFICATIONS</w:t>
      </w:r>
    </w:p>
    <w:p w14:paraId="39EE8F46" w14:textId="77777777" w:rsidR="00E62C3D" w:rsidRPr="00413ED7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Bachelor's Degree in Computer Science (Lic. en Informática), UPIICSA, Instituto Politécnico Nacional, Mexico City (1997)</w:t>
      </w:r>
    </w:p>
    <w:p w14:paraId="0FFB42A1" w14:textId="77777777" w:rsidR="00E62C3D" w:rsidRPr="00413ED7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Diploma in Pension Fund Administration, ITESM, Mexico City (1998)</w:t>
      </w:r>
    </w:p>
    <w:p w14:paraId="3537D7EE" w14:textId="77777777" w:rsidR="00E62C3D" w:rsidRPr="00413ED7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eastAsia="Calibri" w:hAnsiTheme="minorHAnsi" w:cstheme="minorHAnsi"/>
          <w:sz w:val="21"/>
          <w:szCs w:val="21"/>
        </w:rPr>
        <w:t>CertiProf Scrum Foundation (SFPC), 2022  |  Platzi UI Design, 2021  |  PMI Project Management — coursework completed, exam pending, 2020  |  Microsoft 365: Managing Identities and Requirements (70-346), 2016</w:t>
      </w:r>
    </w:p>
    <w:p w14:paraId="3A639D34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LANGUAGES</w:t>
      </w:r>
    </w:p>
    <w:p w14:paraId="1A92A245" w14:textId="77777777" w:rsidR="00E62C3D" w:rsidRDefault="00000000">
      <w:r>
        <w:rPr>
          <w:rFonts w:ascii="Calibri" w:eastAsia="Calibri" w:hAnsi="Calibri" w:cs="Calibri"/>
          <w:sz w:val="21"/>
          <w:szCs w:val="21"/>
        </w:rPr>
        <w:t>Spanish (native)  |  English (professional working proficiency)</w:t>
      </w:r>
    </w:p>
    <w:sectPr w:rsidR="00E62C3D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86AB1"/>
    <w:multiLevelType w:val="hybridMultilevel"/>
    <w:tmpl w:val="AC70CB6C"/>
    <w:lvl w:ilvl="0" w:tplc="7BA25456">
      <w:start w:val="1"/>
      <w:numFmt w:val="bullet"/>
      <w:lvlText w:val="●"/>
      <w:lvlJc w:val="left"/>
      <w:pPr>
        <w:ind w:left="720" w:hanging="360"/>
      </w:pPr>
    </w:lvl>
    <w:lvl w:ilvl="1" w:tplc="BE8A293E">
      <w:start w:val="1"/>
      <w:numFmt w:val="bullet"/>
      <w:lvlText w:val="○"/>
      <w:lvlJc w:val="left"/>
      <w:pPr>
        <w:ind w:left="1440" w:hanging="360"/>
      </w:pPr>
    </w:lvl>
    <w:lvl w:ilvl="2" w:tplc="744E3134">
      <w:start w:val="1"/>
      <w:numFmt w:val="bullet"/>
      <w:lvlText w:val="■"/>
      <w:lvlJc w:val="left"/>
      <w:pPr>
        <w:ind w:left="2160" w:hanging="360"/>
      </w:pPr>
    </w:lvl>
    <w:lvl w:ilvl="3" w:tplc="220A32E6">
      <w:start w:val="1"/>
      <w:numFmt w:val="bullet"/>
      <w:lvlText w:val="●"/>
      <w:lvlJc w:val="left"/>
      <w:pPr>
        <w:ind w:left="2880" w:hanging="360"/>
      </w:pPr>
    </w:lvl>
    <w:lvl w:ilvl="4" w:tplc="161ECFFA">
      <w:start w:val="1"/>
      <w:numFmt w:val="bullet"/>
      <w:lvlText w:val="○"/>
      <w:lvlJc w:val="left"/>
      <w:pPr>
        <w:ind w:left="3600" w:hanging="360"/>
      </w:pPr>
    </w:lvl>
    <w:lvl w:ilvl="5" w:tplc="5CD8371E">
      <w:start w:val="1"/>
      <w:numFmt w:val="bullet"/>
      <w:lvlText w:val="■"/>
      <w:lvlJc w:val="left"/>
      <w:pPr>
        <w:ind w:left="4320" w:hanging="360"/>
      </w:pPr>
    </w:lvl>
    <w:lvl w:ilvl="6" w:tplc="D41A8176">
      <w:start w:val="1"/>
      <w:numFmt w:val="bullet"/>
      <w:lvlText w:val="●"/>
      <w:lvlJc w:val="left"/>
      <w:pPr>
        <w:ind w:left="5040" w:hanging="360"/>
      </w:pPr>
    </w:lvl>
    <w:lvl w:ilvl="7" w:tplc="154451D0">
      <w:start w:val="1"/>
      <w:numFmt w:val="bullet"/>
      <w:lvlText w:val="●"/>
      <w:lvlJc w:val="left"/>
      <w:pPr>
        <w:ind w:left="5760" w:hanging="360"/>
      </w:pPr>
    </w:lvl>
    <w:lvl w:ilvl="8" w:tplc="FF723E0E">
      <w:start w:val="1"/>
      <w:numFmt w:val="bullet"/>
      <w:lvlText w:val="●"/>
      <w:lvlJc w:val="left"/>
      <w:pPr>
        <w:ind w:left="6480" w:hanging="360"/>
      </w:pPr>
    </w:lvl>
  </w:abstractNum>
  <w:num w:numId="1" w16cid:durableId="12467676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C3D"/>
    <w:rsid w:val="003F1E75"/>
    <w:rsid w:val="00413ED7"/>
    <w:rsid w:val="009A5175"/>
    <w:rsid w:val="00B64696"/>
    <w:rsid w:val="00BB7EF8"/>
    <w:rsid w:val="00CB0AF9"/>
    <w:rsid w:val="00DA277C"/>
    <w:rsid w:val="00E6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9A9E8"/>
  <w15:docId w15:val="{D38ED6B6-E39E-4307-AC46-D49FB41D0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765</Words>
  <Characters>4367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Sandra Hernández Nolasco</cp:lastModifiedBy>
  <cp:revision>5</cp:revision>
  <dcterms:created xsi:type="dcterms:W3CDTF">2026-07-30T23:24:00Z</dcterms:created>
  <dcterms:modified xsi:type="dcterms:W3CDTF">2026-07-31T15:49:00Z</dcterms:modified>
</cp:coreProperties>
</file>