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8A"/>
          <w:sz w:val="44"/>
        </w:rPr>
        <w:t>服务号 · 成稿第1期（正式权威版）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**渠道**：圆爱康**服务号**（每月仅 4 次，额度金贵，**这篇占第1期**）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**风格定位**：正式、稳、官方发布。读者是"收到消息专门点开"的状态，**要有分量**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**字数**：约 1750 字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**配图**：5 张（脚本见文末）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**口径基准**：口径红线 v2.1 + 共识_智慧家康模式_底层认知总纲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**坐标**：**服务号=官方定调位**（"智慧家康模式"的定义由这一期承载）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**谁发**：公司运营（可扩写，但**红线不许动**）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478A"/>
          <w:sz w:val="44"/>
        </w:rPr>
        <w:t>【标题备选 · 推荐 F1】</w:t>
      </w:r>
    </w:p>
    <w:p>
      <w:pPr>
        <w:pStyle w:val="ListBullet"/>
        <w:spacing w:after="60"/>
        <w:ind w:left="567"/>
      </w:pPr>
      <w:r/>
      <w:r>
        <w:rPr>
          <w:b/>
        </w:rPr>
        <w:t>F1（推荐）</w:t>
      </w:r>
      <w:r>
        <w:t>：出院之后，治疗为什么断了？——谈「智慧家康模式」与院内—居家治疗闭环</w:t>
      </w:r>
    </w:p>
    <w:p>
      <w:pPr>
        <w:pStyle w:val="ListBullet"/>
        <w:spacing w:after="60"/>
        <w:ind w:left="567"/>
      </w:pPr>
      <w:r>
        <w:t>F2：让治疗不止于出院：圆爱康「智慧家康模式」发布</w:t>
      </w:r>
    </w:p>
    <w:p>
      <w:pPr>
        <w:pStyle w:val="ListBullet"/>
        <w:spacing w:after="60"/>
        <w:ind w:left="567"/>
      </w:pPr>
      <w:r>
        <w:t>F3：把医院的专业治疗能力延伸到患者家中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F1 的理由：服务号是官方发布位，标题**要把"智慧家康模式"这个核心词放在正位**——这是给 AI 抓的，也是给医院/代理商看的。用了"谈……"的正式文体，不失分量。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478A"/>
          <w:sz w:val="44"/>
        </w:rPr>
        <w:t>【正文】</w:t>
      </w:r>
    </w:p>
    <w:p>
      <w:pPr>
        <w:pStyle w:val="Heading2"/>
      </w:pPr>
      <w:r>
        <w:rPr>
          <w:color w:val="1A478A"/>
          <w:sz w:val="32"/>
        </w:rPr>
        <w:t>引言</w:t>
      </w:r>
    </w:p>
    <w:p>
      <w:pPr>
        <w:spacing w:after="120" w:line="312" w:lineRule="auto"/>
      </w:pPr>
      <w:r>
        <w:t>很多治疗，不是一次就能完成的。</w:t>
      </w:r>
    </w:p>
    <w:p>
      <w:pPr>
        <w:spacing w:after="120" w:line="312" w:lineRule="auto"/>
      </w:pPr>
      <w:r>
        <w:t>盆底康复需按疗程进行，心脏康复需持续数月，关节功能训练需循序渐进——</w:t>
      </w:r>
      <w:r>
        <w:rPr>
          <w:b/>
        </w:rPr>
        <w:t>这类治疗的共同特征是：周期长、需持续、中断即失效</w:t>
      </w:r>
      <w:r>
        <w:t>。</w:t>
      </w:r>
    </w:p>
    <w:p>
      <w:pPr>
        <w:spacing w:after="120" w:line="312" w:lineRule="auto"/>
      </w:pPr>
      <w:r>
        <w:t>而患者不可能长期住院。床位周转、费用控制、病情稳定后的出院安排，都是现实约束。于是形成一个普遍存在的断层：</w:t>
      </w:r>
      <w:r>
        <w:rPr>
          <w:b/>
        </w:rPr>
        <w:t>院内有人管、有方案、有设备；回到家中，治疗链条中断。</w:t>
      </w:r>
      <w:r/>
    </w:p>
    <w:p>
      <w:pPr>
        <w:spacing w:after="120" w:line="312" w:lineRule="auto"/>
      </w:pPr>
      <w:r>
        <w:t>这不是患者不配合，也不是医生不负责。</w:t>
      </w:r>
      <w:r>
        <w:rPr>
          <w:b/>
        </w:rPr>
        <w:t>这是"治疗的最后一公里"，长期缺乏承接机制。</w:t>
      </w:r>
      <w:r/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一、问题的实质：不是设备不足，而是缺少闭环</w:t>
      </w:r>
    </w:p>
    <w:p>
      <w:pPr>
        <w:spacing w:after="120" w:line="312" w:lineRule="auto"/>
      </w:pPr>
      <w:r>
        <w:t>近年来，家用健康设备已相当普及。血压计、血糖仪、智能手环等产品进入大量家庭。</w:t>
      </w:r>
    </w:p>
    <w:p>
      <w:pPr>
        <w:spacing w:after="120" w:line="312" w:lineRule="auto"/>
      </w:pPr>
      <w:r>
        <w:t>但这类设备</w:t>
      </w:r>
      <w:r>
        <w:rPr>
          <w:b/>
        </w:rPr>
        <w:t>绝大多数属于"监测类"</w:t>
      </w:r>
      <w:r>
        <w:t>——它们反映指标状态，</w:t>
      </w:r>
      <w:r>
        <w:rPr>
          <w:b/>
        </w:rPr>
        <w:t>并不承担改善功能的责任</w:t>
      </w:r>
      <w:r>
        <w:t>。</w:t>
      </w:r>
    </w:p>
    <w:p>
      <w:pPr>
        <w:spacing w:after="120" w:line="312" w:lineRule="auto"/>
      </w:pPr>
      <w:r>
        <w:t>而</w:t>
      </w:r>
      <w:r>
        <w:rPr>
          <w:b/>
        </w:rPr>
        <w:t>治疗类</w:t>
      </w:r>
      <w:r>
        <w:t>完全不同：它有明确的治疗目标、疗程设计、治疗参数与疗效评估，属于</w:t>
      </w:r>
      <w:r>
        <w:rPr>
          <w:b/>
        </w:rPr>
        <w:t>医疗行为的组成部分</w:t>
      </w:r>
      <w:r>
        <w:t>。</w:t>
      </w:r>
    </w:p>
    <w:p>
      <w:pPr>
        <w:spacing w:after="120" w:line="312" w:lineRule="auto"/>
      </w:pPr>
      <w:r>
        <w:t>监测类与治疗类的分界，也正是"健康管理"与"医疗行为"的分界：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监测类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治疗类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功能</w:t>
            </w:r>
            <w:r/>
          </w:p>
        </w:tc>
        <w:tc>
          <w:tcPr>
            <w:tcW w:type="dxa" w:w="2880"/>
          </w:tcPr>
          <w:p>
            <w:r/>
            <w:r>
              <w:t>采集数据、呈现指标</w:t>
            </w:r>
          </w:p>
        </w:tc>
        <w:tc>
          <w:tcPr>
            <w:tcW w:type="dxa" w:w="2880"/>
          </w:tcPr>
          <w:p>
            <w:r/>
            <w:r>
              <w:t>施加治疗、改善功能状态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典型产品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血压计、血糖仪、智能手环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生物反馈电刺激、心脏超声治疗等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是否有疗程</w:t>
            </w:r>
            <w:r/>
          </w:p>
        </w:tc>
        <w:tc>
          <w:tcPr>
            <w:tcW w:type="dxa" w:w="2880"/>
          </w:tcPr>
          <w:p>
            <w:r/>
            <w:r>
              <w:t>无</w:t>
            </w:r>
          </w:p>
        </w:tc>
        <w:tc>
          <w:tcPr>
            <w:tcW w:type="dxa" w:w="2880"/>
          </w:tcPr>
          <w:p>
            <w:r/>
            <w:r>
              <w:t>有，按疗程执行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是否有治疗参数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通常无个体化参数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有明确参数与作用部位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是否有疗效评估</w:t>
            </w:r>
            <w:r/>
          </w:p>
        </w:tc>
        <w:tc>
          <w:tcPr>
            <w:tcW w:type="dxa" w:w="2880"/>
          </w:tcPr>
          <w:p>
            <w:r/>
            <w:r>
              <w:t>一般不涉及</w:t>
            </w:r>
          </w:p>
        </w:tc>
        <w:tc>
          <w:tcPr>
            <w:tcW w:type="dxa" w:w="2880"/>
          </w:tcPr>
          <w:p>
            <w:r/>
            <w:r>
              <w:t>必须有，按治疗周期评估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是否属医疗行为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否</w:t>
            </w:r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是</w:t>
            </w:r>
            <w:r/>
          </w:p>
        </w:tc>
      </w:tr>
    </w:tbl>
    <w:p/>
    <w:p>
      <w:pPr>
        <w:spacing w:after="120" w:line="312" w:lineRule="auto"/>
      </w:pPr>
      <w:r>
        <w:t>治疗类要真正在院外起作用，必须同时满足三个条件：</w:t>
      </w:r>
    </w:p>
    <w:p>
      <w:pPr>
        <w:spacing w:after="120" w:line="312" w:lineRule="auto"/>
      </w:pPr>
      <w:r/>
      <w:r>
        <w:rPr>
          <w:b/>
        </w:rPr>
        <w:t>第一，方案由执业医师开具。</w:t>
      </w:r>
      <w:r>
        <w:t xml:space="preserve"> 治什么、治多久、什么强度，均属医疗判断，不能由患者自行决定。</w:t>
      </w:r>
    </w:p>
    <w:p>
      <w:pPr>
        <w:spacing w:after="120" w:line="312" w:lineRule="auto"/>
      </w:pPr>
      <w:r/>
      <w:r>
        <w:rPr>
          <w:b/>
        </w:rPr>
        <w:t>第二，执行过程可被医生掌握。</w:t>
      </w:r>
      <w:r>
        <w:t xml:space="preserve"> 患者是否执行、执行是否规范、数据是否变化，医生需要看得见。</w:t>
      </w:r>
    </w:p>
    <w:p>
      <w:pPr>
        <w:spacing w:after="120" w:line="312" w:lineRule="auto"/>
      </w:pPr>
      <w:r/>
      <w:r>
        <w:rPr>
          <w:b/>
        </w:rPr>
        <w:t>第三，方案可依数据调整。</w:t>
      </w:r>
      <w:r>
        <w:t xml:space="preserve"> 无效需换方案，有效需加量——方案不能是"出院时给的一张纸"。</w:t>
      </w:r>
    </w:p>
    <w:p>
      <w:pPr>
        <w:spacing w:after="120" w:line="312" w:lineRule="auto"/>
      </w:pPr>
      <w:r/>
      <w:r>
        <w:rPr>
          <w:b/>
        </w:rPr>
        <w:t>任一条件缺失，居家治疗都会退化为"自行练习"，失去医疗价值。</w:t>
      </w:r>
      <w:r/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二、解决方案：院内—居家治疗闭环</w:t>
      </w:r>
    </w:p>
    <w:p>
      <w:pPr>
        <w:spacing w:after="120" w:line="312" w:lineRule="auto"/>
      </w:pPr>
      <w:r/>
      <w:r>
        <w:rPr>
          <w:b/>
        </w:rPr>
        <w:t>「智慧家康模式」，是圆爱康提出的一套居家康复服务管理模式——把医院各专科的专业治疗能力延伸到患者家中。</w:t>
      </w:r>
      <w:r/>
    </w:p>
    <w:p>
      <w:pPr>
        <w:spacing w:after="120" w:line="312" w:lineRule="auto"/>
      </w:pPr>
      <w:r>
        <w:t>其核心是一条不断档的四步链路：</w:t>
      </w:r>
    </w:p>
    <w:p>
      <w:pPr>
        <w:pStyle w:val="Heading3"/>
      </w:pPr>
      <w:r>
        <w:rPr>
          <w:color w:val="2D5F9E"/>
          <w:sz w:val="26"/>
        </w:rPr>
        <w:t>第一步 · 院内开具</w:t>
      </w:r>
    </w:p>
    <w:p>
      <w:pPr>
        <w:spacing w:after="120" w:line="312" w:lineRule="auto"/>
      </w:pPr>
      <w:r>
        <w:t>主治医师对患者进行评估，开具居家治疗方案。</w:t>
      </w:r>
    </w:p>
    <w:p>
      <w:pPr>
        <w:spacing w:after="120" w:line="312" w:lineRule="auto"/>
      </w:pPr>
      <w:r/>
      <w:r>
        <w:rPr>
          <w:b/>
        </w:rPr>
        <w:t>该环节在医疗机构内完成，处方行为由执业医师专属执行。</w:t>
      </w:r>
      <w:r>
        <w:t xml:space="preserve"> 病种判断、方案设计、疗程设定，均属医疗行为，院外不可替代。</w:t>
      </w:r>
    </w:p>
    <w:p>
      <w:pPr>
        <w:pStyle w:val="Heading3"/>
      </w:pPr>
      <w:r>
        <w:rPr>
          <w:color w:val="2D5F9E"/>
          <w:sz w:val="26"/>
        </w:rPr>
        <w:t>第二步 · 居家执行</w:t>
      </w:r>
    </w:p>
    <w:p>
      <w:pPr>
        <w:spacing w:after="120" w:line="312" w:lineRule="auto"/>
      </w:pPr>
      <w:r>
        <w:t>患者在住所内，使用</w:t>
      </w:r>
      <w:r>
        <w:rPr>
          <w:b/>
        </w:rPr>
        <w:t>医疗级家用设备</w:t>
      </w:r>
      <w:r>
        <w:t>，按方案完成治疗性训练。</w:t>
      </w:r>
    </w:p>
    <w:p>
      <w:pPr>
        <w:spacing w:after="120" w:line="312" w:lineRule="auto"/>
      </w:pPr>
      <w:r>
        <w:t>此处的"医疗级"，指</w:t>
      </w:r>
      <w:r>
        <w:rPr>
          <w:b/>
        </w:rPr>
        <w:t>与医院在用治疗设备同类型的家用化形态</w:t>
      </w:r>
      <w:r>
        <w:t>——具备明确的治疗参数、适用范围与使用规范，区别于普通消费级器材。</w:t>
      </w:r>
    </w:p>
    <w:p>
      <w:pPr>
        <w:pStyle w:val="Heading3"/>
      </w:pPr>
      <w:r>
        <w:rPr>
          <w:color w:val="2D5F9E"/>
          <w:sz w:val="26"/>
        </w:rPr>
        <w:t>第三步 · 数据回传</w:t>
      </w:r>
    </w:p>
    <w:p>
      <w:pPr>
        <w:spacing w:after="120" w:line="312" w:lineRule="auto"/>
      </w:pPr>
      <w:r/>
      <w:r>
        <w:rPr>
          <w:b/>
        </w:rPr>
        <w:t>这是整个闭环的核心环节。</w:t>
      </w:r>
      <w:r/>
    </w:p>
    <w:p>
      <w:pPr>
        <w:spacing w:after="120" w:line="312" w:lineRule="auto"/>
      </w:pPr>
      <w:r>
        <w:t>治疗设备自动采集过程数据，实时回传至合作医疗机构系统。医生可随时查阅：患者当日执行情况、治疗时长、参数设定、依从性趋势。</w:t>
      </w:r>
    </w:p>
    <w:p>
      <w:pPr>
        <w:spacing w:after="120" w:line="312" w:lineRule="auto"/>
      </w:pPr>
      <w:r/>
      <w:r>
        <w:rPr>
          <w:b/>
        </w:rPr>
        <w:t>需特别说明的是：数据由设备自动产生，非患者填报。</w:t>
      </w:r>
      <w:r>
        <w:t xml:space="preserve"> 患者自报数据存在失真风险，而设备自产数据具有客观性——这正是该模式"可被临床采信"的基础。</w:t>
      </w:r>
    </w:p>
    <w:p>
      <w:pPr>
        <w:pStyle w:val="Heading3"/>
      </w:pPr>
      <w:r>
        <w:rPr>
          <w:color w:val="2D5F9E"/>
          <w:sz w:val="26"/>
        </w:rPr>
        <w:t>第四步 · 随访管理与方案调整</w:t>
      </w:r>
    </w:p>
    <w:p>
      <w:pPr>
        <w:spacing w:after="120" w:line="312" w:lineRule="auto"/>
      </w:pPr>
      <w:r>
        <w:t>数据回传之后，需有专人承接：</w:t>
      </w:r>
    </w:p>
    <w:p>
      <w:pPr>
        <w:pStyle w:val="ListBullet"/>
        <w:spacing w:after="60"/>
        <w:ind w:left="567"/>
      </w:pPr>
      <w:r>
        <w:t>患者的咨询与疑问，需有人解答</w:t>
      </w:r>
    </w:p>
    <w:p>
      <w:pPr>
        <w:pStyle w:val="ListBullet"/>
        <w:spacing w:after="60"/>
        <w:ind w:left="567"/>
      </w:pPr>
      <w:r>
        <w:t>执行依从性下降，需有人提醒</w:t>
      </w:r>
    </w:p>
    <w:p>
      <w:pPr>
        <w:pStyle w:val="ListBullet"/>
        <w:spacing w:after="60"/>
        <w:ind w:left="567"/>
      </w:pPr>
      <w:r>
        <w:t>医生需依据数据判断是否调整方案</w:t>
      </w:r>
    </w:p>
    <w:p>
      <w:pPr>
        <w:pStyle w:val="ListBullet"/>
        <w:spacing w:after="60"/>
        <w:ind w:left="567"/>
      </w:pPr>
      <w:r>
        <w:t>设备与系统的运行，需有人保障</w:t>
      </w:r>
    </w:p>
    <w:p>
      <w:pPr>
        <w:spacing w:after="120" w:line="312" w:lineRule="auto"/>
      </w:pPr>
      <w:r>
        <w:t>该环节涉及多方角色协作：</w:t>
      </w:r>
      <w:r>
        <w:rPr>
          <w:b/>
        </w:rPr>
        <w:t>医生、护士、康复师</w:t>
      </w:r>
      <w:r>
        <w:t>（医院侧），</w:t>
      </w:r>
      <w:r>
        <w:rPr>
          <w:b/>
        </w:rPr>
        <w:t>客服、系统客服、督导</w:t>
      </w:r>
      <w:r>
        <w:t>（服务侧）——六个角色分工协作，即</w:t>
      </w:r>
      <w:r>
        <w:rPr>
          <w:b/>
        </w:rPr>
        <w:t>「六师共管」</w:t>
      </w:r>
      <w:r>
        <w:t>。</w:t>
      </w:r>
    </w:p>
    <w:p>
      <w:pPr>
        <w:spacing w:after="120" w:line="312" w:lineRule="auto"/>
      </w:pPr>
      <w:r/>
      <w:r>
        <w:rPr>
          <w:b/>
        </w:rPr>
        <w:t>「六师共管」的设计原则是：不增加医生的操作负担。</w:t>
      </w:r>
      <w:r>
        <w:t xml:space="preserve"> 医生可随时查阅患者数据，但无需被动响应、无需处理额外流程。</w:t>
      </w:r>
      <w:r>
        <w:rPr>
          <w:b/>
        </w:rPr>
        <w:t>医生使用体验的轻重，决定该模式能否长期运转。</w:t>
      </w:r>
      <w:r/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三、该模式对各方意味着什么</w:t>
      </w:r>
    </w:p>
    <w:p>
      <w:pPr>
        <w:spacing w:after="120" w:line="312" w:lineRule="auto"/>
      </w:pPr>
      <w:r/>
      <w:r>
        <w:rPr>
          <w:b/>
        </w:rPr>
        <w:t>对患者</w:t>
      </w:r>
      <w:r>
        <w:t>：出院后不再与医疗体系失联。治疗方案连续、疑问有处可问、无需反复往返医院。</w:t>
      </w:r>
    </w:p>
    <w:p>
      <w:pPr>
        <w:spacing w:after="120" w:line="312" w:lineRule="auto"/>
      </w:pPr>
      <w:r/>
      <w:r>
        <w:rPr>
          <w:b/>
        </w:rPr>
        <w:t>对医生</w:t>
      </w:r>
      <w:r>
        <w:t>：院外治疗阶段首次获得可观测数据。患者依从性与疗效有客观依据，随访评估效率提升。</w:t>
      </w:r>
    </w:p>
    <w:p>
      <w:pPr>
        <w:spacing w:after="120" w:line="312" w:lineRule="auto"/>
      </w:pPr>
      <w:r/>
      <w:r>
        <w:rPr>
          <w:b/>
        </w:rPr>
        <w:t>对医院</w:t>
      </w:r>
      <w:r>
        <w:t>：</w:t>
      </w:r>
      <w:r>
        <w:rPr>
          <w:b/>
        </w:rPr>
        <w:t>在不新增床位与人力投入的前提下，将本科室的专业治疗能力延伸至患者家中。</w:t>
      </w:r>
      <w:r>
        <w:t>原本"治到出院即终止"的患者，可完成完整疗程——这既是治疗价值的实现，也是科室服务能力的延伸。</w:t>
      </w:r>
    </w:p>
    <w:p>
      <w:pPr>
        <w:spacing w:after="120" w:line="312" w:lineRule="auto"/>
      </w:pPr>
      <w:r/>
      <w:r>
        <w:rPr>
          <w:b/>
        </w:rPr>
        <w:t>对合作机构而言，该模式并非"引进一台设备"，而是补全一条本应存在、却长期缺乏技术手段支撑的服务链。</w:t>
      </w:r>
      <w:r/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四、模式定位与边界</w:t>
      </w:r>
    </w:p>
    <w:p>
      <w:pPr>
        <w:spacing w:after="120" w:line="312" w:lineRule="auto"/>
      </w:pPr>
      <w:r/>
      <w:r>
        <w:rPr>
          <w:b/>
        </w:rPr>
        <w:t>关于定位，需明确三点：</w:t>
      </w:r>
      <w:r/>
    </w:p>
    <w:p>
      <w:pPr>
        <w:spacing w:after="120" w:line="312" w:lineRule="auto"/>
      </w:pPr>
      <w:r/>
      <w:r>
        <w:rPr>
          <w:b/>
        </w:rPr>
        <w:t>第一，医疗主体是医院。</w:t>
      </w:r>
      <w:r>
        <w:t xml:space="preserve"> 治疗方案由医院执业医师开具，患者治疗数据归属医院，医生的临床判断不可替代。</w:t>
      </w:r>
    </w:p>
    <w:p>
      <w:pPr>
        <w:spacing w:after="120" w:line="312" w:lineRule="auto"/>
      </w:pPr>
      <w:r/>
      <w:r>
        <w:rPr>
          <w:b/>
        </w:rPr>
        <w:t>第二，圆爱康的角色是辅助方。</w:t>
      </w:r>
      <w:r>
        <w:t xml:space="preserve"> 公司提供医疗级家用设备、治疗数据物联网系统及运营支持。</w:t>
      </w:r>
      <w:r>
        <w:rPr>
          <w:b/>
        </w:rPr>
        <w:t>圆爱康不提供诊疗服务，不介入医生的诊疗决策。</w:t>
      </w:r>
      <w:r/>
    </w:p>
    <w:p>
      <w:pPr>
        <w:spacing w:after="120" w:line="312" w:lineRule="auto"/>
      </w:pPr>
      <w:r/>
      <w:r>
        <w:rPr>
          <w:b/>
        </w:rPr>
        <w:t>第三，它是一种模式，而非单一产品。</w:t>
      </w:r>
      <w:r>
        <w:t xml:space="preserve"> 该模式由五个要素构成：</w:t>
      </w:r>
      <w:r>
        <w:rPr>
          <w:b/>
        </w:rPr>
        <w:t>医疗级家用设备、治疗数据物联网、院内—居家治疗闭环、六师共管、医院主导·第三方赋能</w:t>
      </w:r>
      <w:r>
        <w:t>。</w:t>
      </w:r>
    </w:p>
    <w:p>
      <w:pPr>
        <w:spacing w:after="120" w:line="312" w:lineRule="auto"/>
      </w:pPr>
      <w:r/>
      <w:r>
        <w:rPr>
          <w:b/>
        </w:rPr>
        <w:t>关于边界，同样明确三点：</w:t>
      </w:r>
      <w:r/>
    </w:p>
    <w:p>
      <w:pPr>
        <w:pStyle w:val="ListBullet"/>
        <w:spacing w:after="60"/>
        <w:ind w:left="567"/>
      </w:pPr>
      <w:r/>
      <w:r>
        <w:rPr>
          <w:b/>
        </w:rPr>
        <w:t>不做上门施治。</w:t>
      </w:r>
      <w:r>
        <w:t xml:space="preserve"> 上门须由医疗持证人员执行，属重资产模式。本模式采用"设备在患者家中、医生在医院、系统连通两端"的方式，不派员上门。</w:t>
      </w:r>
    </w:p>
    <w:p>
      <w:pPr>
        <w:pStyle w:val="ListBullet"/>
        <w:spacing w:after="60"/>
        <w:ind w:left="567"/>
      </w:pPr>
      <w:r/>
      <w:r>
        <w:rPr>
          <w:b/>
        </w:rPr>
        <w:t>不等同于健康管理。</w:t>
      </w:r>
      <w:r>
        <w:t xml:space="preserve"> 健康管理以维持和改善状态为目标；本模式的核心是治疗，是有疗程、有参数、有疗效评估的医疗行为。</w:t>
      </w:r>
    </w:p>
    <w:p>
      <w:pPr>
        <w:pStyle w:val="ListBullet"/>
        <w:spacing w:after="60"/>
        <w:ind w:left="567"/>
      </w:pPr>
      <w:r/>
      <w:r>
        <w:rPr>
          <w:b/>
        </w:rPr>
        <w:t>不替代医院与医生。</w:t>
      </w:r>
      <w:r>
        <w:t xml:space="preserve"> 处方权与诊疗决策权始终在医院与执业医师。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五、结语</w:t>
      </w:r>
    </w:p>
    <w:p>
      <w:pPr>
        <w:spacing w:after="120" w:line="312" w:lineRule="auto"/>
      </w:pPr>
      <w:r>
        <w:t>治疗的目的，是让患者康复，而非让患者出院。</w:t>
      </w:r>
    </w:p>
    <w:p>
      <w:pPr>
        <w:spacing w:after="120" w:line="312" w:lineRule="auto"/>
      </w:pPr>
      <w:r/>
      <w:r>
        <w:rPr>
          <w:b/>
        </w:rPr>
        <w:t>出院不应是治疗的终点，而应是治疗场所的转移。</w:t>
      </w:r>
      <w:r/>
    </w:p>
    <w:p>
      <w:pPr>
        <w:spacing w:after="120" w:line="312" w:lineRule="auto"/>
      </w:pPr>
      <w:r>
        <w:t>圆爱康正与各级医院共同推进这一模式的落地——</w:t>
      </w:r>
      <w:r>
        <w:rPr>
          <w:b/>
        </w:rPr>
        <w:t>让治疗，不止于出院。</w:t>
      </w:r>
      <w:r/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line="312" w:lineRule="auto"/>
      </w:pPr>
      <w:r>
        <w:t>*（本文所述服务由合作医疗机构提供，圆爱康作为第三方技术与服务支持方。）*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478A"/>
          <w:sz w:val="44"/>
        </w:rPr>
        <w:t>【配图脚本 · 5 张】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服务号是官方发布位，**图片统一走"专业、克制、有分量"的风格**：白底 + 品牌绿 #0b6b5c，图表化表达，**不用摆拍照片**。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1</w:t>
            </w:r>
            <w:r/>
          </w:p>
        </w:tc>
        <w:tc>
          <w:tcPr>
            <w:tcW w:type="dxa" w:w="2880"/>
          </w:tcPr>
          <w:p>
            <w:r/>
            <w:r>
              <w:t>封面</w:t>
            </w:r>
          </w:p>
        </w:tc>
        <w:tc>
          <w:tcPr>
            <w:tcW w:type="dxa" w:w="2880"/>
          </w:tcPr>
          <w:p>
            <w:r/>
            <w:r>
              <w:t>左侧：一条四环链条（断在第2-3环间）；右侧压标题。整体留白多、克制。副标题：</w:t>
            </w:r>
            <w:r>
              <w:rPr>
                <w:b/>
              </w:rPr>
              <w:t>院内—居家治疗闭环</w:t>
            </w:r>
            <w:r/>
          </w:p>
        </w:tc>
      </w:tr>
      <w:tr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2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第一部分</w:t>
            </w:r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监测类 vs 治疗类 对比表</w:t>
            </w:r>
            <w:r>
              <w:t>（正文那张表的图形版，右列高亮品牌绿）。底部一句：</w:t>
            </w:r>
            <w:r>
              <w:rPr>
                <w:b/>
              </w:rPr>
              <w:t>这也是"健康管理"与"医疗行为"的分界</w:t>
            </w:r>
            <w:r/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3</w:t>
            </w:r>
            <w:r/>
          </w:p>
        </w:tc>
        <w:tc>
          <w:tcPr>
            <w:tcW w:type="dxa" w:w="2880"/>
          </w:tcPr>
          <w:p>
            <w:r/>
            <w:r>
              <w:t>第二部分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四步闭环环形图</w:t>
            </w:r>
            <w:r>
              <w:t>：院内开具 → 居家执行 → 数据回传 → 随访管理与方案调整 → 回①。旁注：</w:t>
            </w:r>
            <w:r>
              <w:rPr>
                <w:b/>
              </w:rPr>
              <w:t>处方：执业医师专属</w:t>
            </w:r>
            <w:r>
              <w:t>；中心：</w:t>
            </w:r>
            <w:r>
              <w:rPr>
                <w:b/>
              </w:rPr>
              <w:t>院内—居家治疗闭环</w:t>
            </w:r>
            <w:r/>
          </w:p>
        </w:tc>
      </w:tr>
      <w:tr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4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第三部分</w:t>
            </w:r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三方关系图</w:t>
            </w:r>
            <w:r>
              <w:t>：患者居中；左=医院（医疗主体·开单·诊疗决策）；右=圆爱康（设备·系统·运营支持·赋能方）；两侧双向箭头=治疗数据。底部：</w:t>
            </w:r>
            <w:r>
              <w:rPr>
                <w:b/>
              </w:rPr>
              <w:t>诊疗主体不变，第三方赋能</w:t>
            </w:r>
            <w:r/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5</w:t>
            </w:r>
            <w:r/>
          </w:p>
        </w:tc>
        <w:tc>
          <w:tcPr>
            <w:tcW w:type="dxa" w:w="2880"/>
          </w:tcPr>
          <w:p>
            <w:r/>
            <w:r>
              <w:t>结语</w:t>
            </w:r>
          </w:p>
        </w:tc>
        <w:tc>
          <w:tcPr>
            <w:tcW w:type="dxa" w:w="2880"/>
          </w:tcPr>
          <w:p>
            <w:r/>
            <w:r>
              <w:t>大字：</w:t>
            </w:r>
            <w:r>
              <w:rPr>
                <w:b/>
              </w:rPr>
              <w:t>让治疗，不止于出院。</w:t>
            </w:r>
            <w:r>
              <w:t xml:space="preserve"> 下方：圆爱康 · 智慧家康模式，把医院各专科的专业治疗能力延伸到患者家中。右下角 logo</w:t>
            </w:r>
          </w:p>
        </w:tc>
      </w:tr>
    </w:tbl>
    <w:p/>
    <w:p>
      <w:pPr>
        <w:spacing w:after="120" w:line="312" w:lineRule="auto"/>
      </w:pPr>
      <w:r/>
      <w:r>
        <w:rPr>
          <w:b/>
        </w:rPr>
        <w:t>排版</w:t>
      </w:r>
      <w:r>
        <w:t>：字体端庄，小标题用</w:t>
      </w:r>
      <w:r>
        <w:rPr>
          <w:b/>
        </w:rPr>
        <w:t>「一、二、三」</w:t>
      </w:r>
      <w:r>
        <w:t>序号制（服务号风格）。每段不超过5行。表格务必图形化——服务号读者对纯文本表格接受度低。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478A"/>
          <w:sz w:val="44"/>
        </w:rPr>
        <w:t>【发布检查清单】</w:t>
      </w:r>
    </w:p>
    <w:p>
      <w:pPr>
        <w:pStyle w:val="ListBullet"/>
        <w:spacing w:after="60"/>
        <w:ind w:left="567"/>
      </w:pPr>
      <w:r>
        <w:t>[ ] 无"智慧家庭·康复"字样（应为</w:t>
      </w:r>
      <w:r>
        <w:rPr>
          <w:b/>
        </w:rPr>
        <w:t>智慧居家康复</w:t>
      </w:r>
      <w:r>
        <w:t>）</w:t>
      </w:r>
    </w:p>
    <w:p>
      <w:pPr>
        <w:pStyle w:val="ListBullet"/>
        <w:spacing w:after="60"/>
        <w:ind w:left="567"/>
      </w:pPr>
      <w:r>
        <w:t>[ ] 无"居家健康管理"字样</w:t>
      </w:r>
    </w:p>
    <w:p>
      <w:pPr>
        <w:pStyle w:val="ListBullet"/>
        <w:spacing w:after="60"/>
        <w:ind w:left="567"/>
      </w:pPr>
      <w:r>
        <w:t>[ ] 无"上门·康复/上门·服务"字样</w:t>
      </w:r>
    </w:p>
    <w:p>
      <w:pPr>
        <w:pStyle w:val="ListBullet"/>
        <w:spacing w:after="60"/>
        <w:ind w:left="567"/>
      </w:pPr>
      <w:r>
        <w:t>[ ] 无"三甲"字样（统一"各级医院"）</w:t>
      </w:r>
    </w:p>
    <w:p>
      <w:pPr>
        <w:pStyle w:val="ListBullet"/>
        <w:spacing w:after="60"/>
        <w:ind w:left="567"/>
      </w:pPr>
      <w:r>
        <w:t>[ ] 无"圆爱康提供诊疗/治疗"类表述（圆爱康=</w:t>
      </w:r>
      <w:r>
        <w:rPr>
          <w:b/>
        </w:rPr>
        <w:t>辅助方</w:t>
      </w:r>
      <w:r>
        <w:t>）</w:t>
      </w:r>
    </w:p>
    <w:p>
      <w:pPr>
        <w:pStyle w:val="ListBullet"/>
        <w:spacing w:after="60"/>
        <w:ind w:left="567"/>
      </w:pPr>
      <w:r>
        <w:t xml:space="preserve">[ ] "智慧家康"= </w:t>
      </w:r>
      <w:r>
        <w:rPr>
          <w:b/>
        </w:rPr>
        <w:t>智慧家康模式</w:t>
      </w:r>
      <w:r/>
    </w:p>
    <w:p>
      <w:pPr>
        <w:pStyle w:val="ListBullet"/>
        <w:spacing w:after="60"/>
        <w:ind w:left="567"/>
      </w:pPr>
      <w:r>
        <w:t>[ ] 处方/开单归属</w:t>
      </w:r>
      <w:r>
        <w:rPr>
          <w:b/>
        </w:rPr>
        <w:t>执业医师</w:t>
      </w:r>
      <w:r/>
    </w:p>
    <w:p>
      <w:pPr>
        <w:pStyle w:val="ListBullet"/>
        <w:spacing w:after="60"/>
        <w:ind w:left="567"/>
      </w:pPr>
      <w:r>
        <w:t>[ ] 免责声明在</w:t>
      </w:r>
    </w:p>
    <w:p>
      <w:pPr>
        <w:pStyle w:val="ListBullet"/>
        <w:spacing w:after="60"/>
        <w:ind w:left="567"/>
      </w:pPr>
      <w:r>
        <w:t xml:space="preserve">[ ] </w:t>
      </w:r>
      <w:r>
        <w:rPr>
          <w:b/>
        </w:rPr>
        <w:t>本期占用服务号当月额度1/4</w:t>
      </w:r>
      <w:r>
        <w:t>，发布前确认无其他重要公告冲突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line="312" w:lineRule="auto"/>
      </w:pPr>
      <w:r>
        <w:t>*小鲸鱼 · 2026-09-14 · 服务号成稿第1期（官方定调位）*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