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24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drawing>
          <wp:inline distT="0" distB="0" distL="114300" distR="114300">
            <wp:extent cx="3638550" cy="514350"/>
            <wp:effectExtent l="0" t="0" r="0" b="0"/>
            <wp:docPr id="1"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638550" cy="514350"/>
                    </a:xfrm>
                    <a:prstGeom prst="rect">
                      <a:avLst/>
                    </a:prstGeom>
                    <a:noFill/>
                    <a:ln w="9525">
                      <a:noFill/>
                    </a:ln>
                  </pic:spPr>
                </pic:pic>
              </a:graphicData>
            </a:graphic>
          </wp:inline>
        </w:drawing>
      </w:r>
    </w:p>
    <w:p w14:paraId="68649814">
      <w:pPr>
        <w:pStyle w:val="7"/>
      </w:pPr>
      <w:r>
        <w:t>窗体顶端</w:t>
      </w:r>
    </w:p>
    <w:p w14:paraId="0861A997">
      <w:pPr>
        <w:keepNext w:val="0"/>
        <w:keepLines w:val="0"/>
        <w:widowControl/>
        <w:suppressLineNumbers w:val="0"/>
        <w:pBdr>
          <w:top w:val="none" w:color="auto" w:sz="0" w:space="0"/>
          <w:left w:val="none" w:color="auto" w:sz="0" w:space="0"/>
          <w:bottom w:val="none" w:color="auto" w:sz="0" w:space="0"/>
          <w:right w:val="none" w:color="auto" w:sz="0" w:space="0"/>
        </w:pBdr>
        <w:shd w:val="clear" w:fill="F0F0F0"/>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24"/>
          <w:szCs w:val="24"/>
        </w:rPr>
      </w:pPr>
    </w:p>
    <w:p w14:paraId="616E835C">
      <w:pPr>
        <w:pStyle w:val="8"/>
      </w:pPr>
      <w:r>
        <w:t>窗体底端</w:t>
      </w:r>
    </w:p>
    <w:p w14:paraId="2EB6BE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"https://www.gov.cn/" \t "https://www.gov.cn/zhengce/zhengceku/202311/_blank"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首页</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25869F1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441EC3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"https://www.gov.cn/" \t "https://www.gov.cn/zhengce/zhengceku/202311/_blank"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简</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78E407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384104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"http://big5.www.gov.cn/gate/big5/www.gov.cn/" \t "https://www.gov.cn/zhengce/zhengceku/202311/_blank"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繁</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2A63348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65E1EFE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"http://english.www.gov.cn/" \t "https://www.gov.cn/zhengce/zhengceku/202311/_blank"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EN</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08222F0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6CCCA2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登录</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73AB75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62CD80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"https://mail.gov.cn/nsmail/index.php" \t "https://www.gov.cn/zhengce/zhengceku/202311/_blank"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邮箱</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7FDCD1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136" w:right="136" w:hanging="360"/>
        <w:rPr>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63F529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hanging="360"/>
        <w:rPr>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instrText xml:space="preserve"> HYPERLINK "javascript:;" </w:instrTex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separate"/>
      </w:r>
      <w:r>
        <w:rPr>
          <w:rStyle w:val="6"/>
          <w:rFonts w:hint="eastAsia" w:ascii="微软雅黑" w:hAnsi="微软雅黑" w:eastAsia="微软雅黑" w:cs="微软雅黑"/>
          <w:i w:val="0"/>
          <w:iCs w:val="0"/>
          <w:caps w:val="0"/>
          <w:color w:val="000000"/>
          <w:spacing w:val="0"/>
          <w:sz w:val="24"/>
          <w:szCs w:val="24"/>
          <w:u w:val="none"/>
          <w:bdr w:val="none" w:color="auto" w:sz="0" w:space="0"/>
          <w:shd w:val="clear" w:fill="FFFFFF"/>
        </w:rPr>
        <w:t>无障碍</w:t>
      </w:r>
      <w:r>
        <w:rPr>
          <w:rFonts w:hint="eastAsia" w:ascii="微软雅黑" w:hAnsi="微软雅黑" w:eastAsia="微软雅黑" w:cs="微软雅黑"/>
          <w:i w:val="0"/>
          <w:iCs w:val="0"/>
          <w:caps w:val="0"/>
          <w:color w:val="000000"/>
          <w:spacing w:val="0"/>
          <w:sz w:val="24"/>
          <w:szCs w:val="24"/>
          <w:u w:val="none"/>
          <w:bdr w:val="none" w:color="auto" w:sz="0" w:space="0"/>
          <w:shd w:val="clear" w:fill="FFFFFF"/>
        </w:rPr>
        <w:fldChar w:fldCharType="end"/>
      </w:r>
    </w:p>
    <w:p w14:paraId="67A78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0" w:right="0" w:firstLine="0"/>
        <w:jc w:val="left"/>
        <w:rPr>
          <w:rFonts w:hint="eastAsia" w:ascii="宋体" w:hAnsi="宋体" w:eastAsia="宋体" w:cs="宋体"/>
          <w:i w:val="0"/>
          <w:iCs w:val="0"/>
          <w:caps w:val="0"/>
          <w:color w:val="707070"/>
          <w:spacing w:val="0"/>
          <w:sz w:val="21"/>
          <w:szCs w:val="21"/>
        </w:rPr>
      </w:pP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fldChar w:fldCharType="begin"/>
      </w: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instrText xml:space="preserve"> HYPERLINK "https://www.gov.cn/" \o "首页" \t "https://www.gov.cn/zhengce/zhengceku/202311/_blank" </w:instrText>
      </w: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fldChar w:fldCharType="separate"/>
      </w:r>
      <w:r>
        <w:rPr>
          <w:rStyle w:val="6"/>
          <w:rFonts w:hint="eastAsia" w:ascii="宋体" w:hAnsi="宋体" w:eastAsia="宋体" w:cs="宋体"/>
          <w:b/>
          <w:bCs/>
          <w:i w:val="0"/>
          <w:iCs w:val="0"/>
          <w:caps w:val="0"/>
          <w:color w:val="000000"/>
          <w:spacing w:val="0"/>
          <w:sz w:val="21"/>
          <w:szCs w:val="21"/>
          <w:u w:val="none"/>
          <w:bdr w:val="none" w:color="auto" w:sz="0" w:space="0"/>
          <w:shd w:val="clear" w:fill="FFFFFF"/>
        </w:rPr>
        <w:t>首页</w:t>
      </w: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instrText xml:space="preserve"> HYPERLINK "https://www.gov.cn/zc/" \o "政策" \t "https://www.gov.cn/zhengce/zhengceku/202311/_blank" </w:instrTex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separate"/>
      </w:r>
      <w:r>
        <w:rPr>
          <w:rStyle w:val="6"/>
          <w:rFonts w:hint="eastAsia" w:ascii="宋体" w:hAnsi="宋体" w:eastAsia="宋体" w:cs="宋体"/>
          <w:i w:val="0"/>
          <w:iCs w:val="0"/>
          <w:caps w:val="0"/>
          <w:color w:val="000000"/>
          <w:spacing w:val="0"/>
          <w:sz w:val="21"/>
          <w:szCs w:val="21"/>
          <w:u w:val="none"/>
          <w:bdr w:val="none" w:color="auto" w:sz="0" w:space="0"/>
          <w:shd w:val="clear" w:fill="FFFFFF"/>
        </w:rPr>
        <w:t>政策</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instrText xml:space="preserve"> HYPERLINK "https://www.gov.cn/zhengce/zhengcewenjianku/" \o "国务院政策文件库" \t "https://www.gov.cn/zhengce/zhengceku/202311/_blank" </w:instrTex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separate"/>
      </w:r>
      <w:r>
        <w:rPr>
          <w:rStyle w:val="6"/>
          <w:rFonts w:hint="eastAsia" w:ascii="宋体" w:hAnsi="宋体" w:eastAsia="宋体" w:cs="宋体"/>
          <w:i w:val="0"/>
          <w:iCs w:val="0"/>
          <w:caps w:val="0"/>
          <w:color w:val="000000"/>
          <w:spacing w:val="0"/>
          <w:sz w:val="21"/>
          <w:szCs w:val="21"/>
          <w:u w:val="none"/>
          <w:bdr w:val="none" w:color="auto" w:sz="0" w:space="0"/>
          <w:shd w:val="clear" w:fill="FFFFFF"/>
        </w:rPr>
        <w:t>国务院政策文件库</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end"/>
      </w: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 &gt;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begin"/>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instrText xml:space="preserve"> HYPERLINK "https://www.gov.cn/zhengce/zhengceku/bmwj/" \o "国务院部门文件" \t "https://www.gov.cn/zhengce/zhengceku/202311/_blank" </w:instrTex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separate"/>
      </w:r>
      <w:r>
        <w:rPr>
          <w:rStyle w:val="6"/>
          <w:rFonts w:hint="eastAsia" w:ascii="宋体" w:hAnsi="宋体" w:eastAsia="宋体" w:cs="宋体"/>
          <w:i w:val="0"/>
          <w:iCs w:val="0"/>
          <w:caps w:val="0"/>
          <w:color w:val="000000"/>
          <w:spacing w:val="0"/>
          <w:sz w:val="21"/>
          <w:szCs w:val="21"/>
          <w:u w:val="none"/>
          <w:bdr w:val="none" w:color="auto" w:sz="0" w:space="0"/>
          <w:shd w:val="clear" w:fill="FFFFFF"/>
        </w:rPr>
        <w:t>国务院部门文件</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fldChar w:fldCharType="end"/>
      </w:r>
    </w:p>
    <w:p w14:paraId="59310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0" w:right="0" w:firstLine="0"/>
        <w:jc w:val="center"/>
        <w:rPr>
          <w:rFonts w:hint="eastAsia" w:ascii="宋体" w:hAnsi="宋体" w:eastAsia="宋体" w:cs="宋体"/>
          <w:i w:val="0"/>
          <w:iCs w:val="0"/>
          <w:caps w:val="0"/>
          <w:color w:val="707070"/>
          <w:spacing w:val="0"/>
          <w:sz w:val="21"/>
          <w:szCs w:val="21"/>
        </w:rPr>
      </w:pP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字号：</w:t>
      </w:r>
      <w:r>
        <w:rPr>
          <w:rFonts w:hint="eastAsia" w:ascii="宋体" w:hAnsi="宋体" w:eastAsia="宋体" w:cs="宋体"/>
          <w:b/>
          <w:bCs/>
          <w:i w:val="0"/>
          <w:iCs w:val="0"/>
          <w:caps w:val="0"/>
          <w:color w:val="015293"/>
          <w:spacing w:val="0"/>
          <w:kern w:val="0"/>
          <w:sz w:val="21"/>
          <w:szCs w:val="21"/>
          <w:bdr w:val="none" w:color="auto" w:sz="0" w:space="0"/>
          <w:shd w:val="clear" w:fill="FFFFFF"/>
          <w:lang w:val="en-US" w:eastAsia="zh-CN" w:bidi="ar"/>
        </w:rPr>
        <w:t>默认</w:t>
      </w: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 大 超大|</w:t>
      </w:r>
      <w:r>
        <w:rPr>
          <w:rFonts w:hint="eastAsia" w:ascii="宋体" w:hAnsi="宋体" w:eastAsia="宋体" w:cs="宋体"/>
          <w:i w:val="0"/>
          <w:iCs w:val="0"/>
          <w:caps w:val="0"/>
          <w:color w:val="898989"/>
          <w:spacing w:val="0"/>
          <w:kern w:val="0"/>
          <w:sz w:val="21"/>
          <w:szCs w:val="21"/>
          <w:bdr w:val="none" w:color="auto" w:sz="0" w:space="0"/>
          <w:shd w:val="clear" w:fill="FFFFFF"/>
          <w:lang w:val="en-US" w:eastAsia="zh-CN" w:bidi="ar"/>
        </w:rPr>
        <w:t>打印</w:t>
      </w:r>
    </w:p>
    <w:p w14:paraId="01A7F3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150" w:right="0" w:firstLine="0"/>
        <w:jc w:val="center"/>
        <w:rPr>
          <w:rFonts w:hint="eastAsia" w:ascii="宋体" w:hAnsi="宋体" w:eastAsia="宋体" w:cs="宋体"/>
          <w:i w:val="0"/>
          <w:iCs w:val="0"/>
          <w:caps w:val="0"/>
          <w:color w:val="6F6F6F"/>
          <w:spacing w:val="0"/>
          <w:sz w:val="21"/>
          <w:szCs w:val="21"/>
        </w:rPr>
      </w:pPr>
      <w:r>
        <w:rPr>
          <w:rFonts w:hint="eastAsia" w:ascii="宋体" w:hAnsi="宋体" w:eastAsia="宋体" w:cs="宋体"/>
          <w:i w:val="0"/>
          <w:iCs w:val="0"/>
          <w:caps w:val="0"/>
          <w:color w:val="6F6F6F"/>
          <w:spacing w:val="0"/>
          <w:kern w:val="0"/>
          <w:sz w:val="21"/>
          <w:szCs w:val="21"/>
          <w:bdr w:val="none" w:color="auto" w:sz="0" w:space="0"/>
          <w:shd w:val="clear" w:fill="FFFFFF"/>
          <w:lang w:val="en-US" w:eastAsia="zh-CN" w:bidi="ar"/>
        </w:rPr>
        <w:t>收藏</w:t>
      </w:r>
    </w:p>
    <w:p w14:paraId="50CEE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150" w:right="0" w:firstLine="0"/>
        <w:jc w:val="center"/>
        <w:rPr>
          <w:rFonts w:hint="eastAsia" w:ascii="宋体" w:hAnsi="宋体" w:eastAsia="宋体" w:cs="宋体"/>
          <w:i w:val="0"/>
          <w:iCs w:val="0"/>
          <w:caps w:val="0"/>
          <w:color w:val="6F6F6F"/>
          <w:spacing w:val="0"/>
          <w:sz w:val="21"/>
          <w:szCs w:val="21"/>
        </w:rPr>
      </w:pPr>
      <w:r>
        <w:rPr>
          <w:rFonts w:hint="eastAsia" w:ascii="宋体" w:hAnsi="宋体" w:eastAsia="宋体" w:cs="宋体"/>
          <w:i w:val="0"/>
          <w:iCs w:val="0"/>
          <w:caps w:val="0"/>
          <w:color w:val="6F6F6F"/>
          <w:spacing w:val="0"/>
          <w:kern w:val="0"/>
          <w:sz w:val="21"/>
          <w:szCs w:val="21"/>
          <w:bdr w:val="none" w:color="auto" w:sz="0" w:space="0"/>
          <w:shd w:val="clear" w:fill="FFFFFF"/>
          <w:lang w:val="en-US" w:eastAsia="zh-CN" w:bidi="ar"/>
        </w:rPr>
        <w:t>留言</w:t>
      </w:r>
    </w:p>
    <w:p w14:paraId="3DD5ED5F">
      <w:pPr>
        <w:keepNext w:val="0"/>
        <w:keepLines w:val="0"/>
        <w:widowControl/>
        <w:suppressLineNumbers w:val="0"/>
        <w:spacing w:before="0" w:beforeAutospacing="0" w:after="0" w:afterAutospacing="0"/>
        <w:ind w:left="0" w:right="0"/>
        <w:jc w:val="left"/>
      </w:pPr>
      <w:r>
        <w:rPr>
          <w:rFonts w:hint="eastAsia" w:ascii="宋体" w:hAnsi="宋体" w:eastAsia="宋体" w:cs="宋体"/>
          <w:i w:val="0"/>
          <w:iCs w:val="0"/>
          <w:caps w:val="0"/>
          <w:color w:val="707070"/>
          <w:spacing w:val="0"/>
          <w:kern w:val="0"/>
          <w:sz w:val="21"/>
          <w:szCs w:val="21"/>
          <w:bdr w:val="none" w:color="auto" w:sz="0" w:space="0"/>
          <w:shd w:val="clear" w:fill="FFFFFF"/>
          <w:lang w:val="en-US" w:eastAsia="zh-CN" w:bidi="ar"/>
        </w:rPr>
        <w:t>|</w:t>
      </w:r>
    </w:p>
    <w:p w14:paraId="08C48D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25" w:lineRule="atLeast"/>
        <w:ind w:left="0" w:right="0" w:firstLine="0"/>
        <w:jc w:val="center"/>
        <w:rPr>
          <w:rFonts w:hint="eastAsia" w:ascii="宋体" w:hAnsi="宋体" w:eastAsia="宋体" w:cs="宋体"/>
          <w:i w:val="0"/>
          <w:iCs w:val="0"/>
          <w:caps w:val="0"/>
          <w:color w:val="898989"/>
          <w:spacing w:val="0"/>
          <w:sz w:val="21"/>
          <w:szCs w:val="21"/>
          <w:u w:val="none"/>
        </w:rPr>
      </w:pPr>
      <w:r>
        <w:rPr>
          <w:rFonts w:hint="eastAsia" w:ascii="宋体" w:hAnsi="宋体" w:eastAsia="宋体" w:cs="宋体"/>
          <w:b/>
          <w:bCs/>
          <w:i w:val="0"/>
          <w:iCs w:val="0"/>
          <w:caps w:val="0"/>
          <w:color w:val="000000"/>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21"/>
          <w:szCs w:val="21"/>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21"/>
          <w:szCs w:val="21"/>
          <w:u w:val="none"/>
          <w:bdr w:val="none" w:color="auto" w:sz="0" w:space="0"/>
          <w:shd w:val="clear" w:fill="FFFFFF"/>
          <w:lang w:val="en-US" w:eastAsia="zh-CN" w:bidi="ar"/>
        </w:rPr>
        <w:t> </w:t>
      </w:r>
    </w:p>
    <w:tbl>
      <w:tblPr>
        <w:tblW w:w="143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9"/>
        <w:gridCol w:w="6035"/>
        <w:gridCol w:w="1149"/>
        <w:gridCol w:w="6037"/>
      </w:tblGrid>
      <w:tr w14:paraId="1C055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2071C928">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标  题：</w:t>
            </w:r>
          </w:p>
        </w:tc>
        <w:tc>
          <w:tcPr>
            <w:tcW w:w="6035" w:type="dxa"/>
            <w:tcBorders>
              <w:top w:val="nil"/>
              <w:left w:val="nil"/>
              <w:bottom w:val="dashed" w:color="A4A4A4" w:sz="6" w:space="0"/>
              <w:right w:val="nil"/>
            </w:tcBorders>
            <w:shd w:val="clear"/>
            <w:tcMar>
              <w:top w:w="180" w:type="dxa"/>
              <w:left w:w="0" w:type="dxa"/>
              <w:bottom w:w="180" w:type="dxa"/>
              <w:right w:w="0" w:type="dxa"/>
            </w:tcMar>
            <w:vAlign w:val="center"/>
          </w:tcPr>
          <w:p w14:paraId="5246C7AF">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关于印发居家和社区医养结合服务指南（试行）的通知</w:t>
            </w:r>
          </w:p>
        </w:tc>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506964DC">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发文机关：</w:t>
            </w:r>
          </w:p>
        </w:tc>
        <w:tc>
          <w:tcPr>
            <w:tcW w:w="0" w:type="auto"/>
            <w:tcBorders>
              <w:top w:val="nil"/>
              <w:left w:val="nil"/>
              <w:bottom w:val="dashed" w:color="A4A4A4" w:sz="6" w:space="0"/>
              <w:right w:val="nil"/>
            </w:tcBorders>
            <w:shd w:val="clear"/>
            <w:tcMar>
              <w:top w:w="180" w:type="dxa"/>
              <w:left w:w="0" w:type="dxa"/>
              <w:bottom w:w="180" w:type="dxa"/>
              <w:right w:w="0" w:type="dxa"/>
            </w:tcMar>
            <w:vAlign w:val="center"/>
          </w:tcPr>
          <w:p w14:paraId="33E2BD13">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国家卫生健康委办公厅 国家中医药局综合司 国家疾控局综合司</w:t>
            </w:r>
          </w:p>
        </w:tc>
      </w:tr>
      <w:tr w14:paraId="0F811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78F0BF8C">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发文字号：</w:t>
            </w:r>
          </w:p>
        </w:tc>
        <w:tc>
          <w:tcPr>
            <w:tcW w:w="6035" w:type="dxa"/>
            <w:tcBorders>
              <w:top w:val="nil"/>
              <w:left w:val="nil"/>
              <w:bottom w:val="dashed" w:color="A4A4A4" w:sz="6" w:space="0"/>
              <w:right w:val="nil"/>
            </w:tcBorders>
            <w:shd w:val="clear"/>
            <w:tcMar>
              <w:top w:w="180" w:type="dxa"/>
              <w:left w:w="0" w:type="dxa"/>
              <w:bottom w:w="180" w:type="dxa"/>
              <w:right w:w="0" w:type="dxa"/>
            </w:tcMar>
            <w:vAlign w:val="center"/>
          </w:tcPr>
          <w:p w14:paraId="612ED4D7">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国卫办老龄发〔2023〕18号</w:t>
            </w:r>
          </w:p>
        </w:tc>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2BA79F60">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来  源：</w:t>
            </w:r>
          </w:p>
        </w:tc>
        <w:tc>
          <w:tcPr>
            <w:tcW w:w="0" w:type="auto"/>
            <w:tcBorders>
              <w:top w:val="nil"/>
              <w:left w:val="nil"/>
              <w:bottom w:val="dashed" w:color="A4A4A4" w:sz="6" w:space="0"/>
              <w:right w:val="nil"/>
            </w:tcBorders>
            <w:shd w:val="clear"/>
            <w:tcMar>
              <w:top w:w="180" w:type="dxa"/>
              <w:left w:w="0" w:type="dxa"/>
              <w:bottom w:w="180" w:type="dxa"/>
              <w:right w:w="0" w:type="dxa"/>
            </w:tcMar>
            <w:vAlign w:val="center"/>
          </w:tcPr>
          <w:p w14:paraId="3B123006">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国家卫生健康委网站</w:t>
            </w:r>
          </w:p>
        </w:tc>
      </w:tr>
      <w:tr w14:paraId="012B9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2E3A2304">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主题分类：</w:t>
            </w:r>
          </w:p>
        </w:tc>
        <w:tc>
          <w:tcPr>
            <w:tcW w:w="6035" w:type="dxa"/>
            <w:tcBorders>
              <w:top w:val="nil"/>
              <w:left w:val="nil"/>
              <w:bottom w:val="dashed" w:color="A4A4A4" w:sz="6" w:space="0"/>
              <w:right w:val="nil"/>
            </w:tcBorders>
            <w:shd w:val="clear"/>
            <w:tcMar>
              <w:top w:w="180" w:type="dxa"/>
              <w:left w:w="0" w:type="dxa"/>
              <w:bottom w:w="180" w:type="dxa"/>
              <w:right w:w="0" w:type="dxa"/>
            </w:tcMar>
            <w:vAlign w:val="center"/>
          </w:tcPr>
          <w:p w14:paraId="26AF8EA7">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卫生、体育\其他</w:t>
            </w:r>
          </w:p>
        </w:tc>
        <w:tc>
          <w:tcPr>
            <w:tcW w:w="1149" w:type="dxa"/>
            <w:tcBorders>
              <w:top w:val="nil"/>
              <w:left w:val="nil"/>
              <w:bottom w:val="dashed" w:color="A4A4A4" w:sz="6" w:space="0"/>
              <w:right w:val="nil"/>
            </w:tcBorders>
            <w:shd w:val="clear"/>
            <w:tcMar>
              <w:top w:w="180" w:type="dxa"/>
              <w:left w:w="0" w:type="dxa"/>
              <w:bottom w:w="180" w:type="dxa"/>
              <w:right w:w="0" w:type="dxa"/>
            </w:tcMar>
            <w:vAlign w:val="center"/>
          </w:tcPr>
          <w:p w14:paraId="6AC39088">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公文种类：</w:t>
            </w:r>
          </w:p>
        </w:tc>
        <w:tc>
          <w:tcPr>
            <w:tcW w:w="0" w:type="auto"/>
            <w:tcBorders>
              <w:top w:val="nil"/>
              <w:left w:val="nil"/>
              <w:bottom w:val="dashed" w:color="A4A4A4" w:sz="6" w:space="0"/>
              <w:right w:val="nil"/>
            </w:tcBorders>
            <w:shd w:val="clear"/>
            <w:tcMar>
              <w:top w:w="180" w:type="dxa"/>
              <w:left w:w="0" w:type="dxa"/>
              <w:bottom w:w="180" w:type="dxa"/>
              <w:right w:w="0" w:type="dxa"/>
            </w:tcMar>
            <w:vAlign w:val="center"/>
          </w:tcPr>
          <w:p w14:paraId="2276B603">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通知</w:t>
            </w:r>
          </w:p>
        </w:tc>
      </w:tr>
      <w:tr w14:paraId="5AD95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49" w:type="dxa"/>
            <w:tcBorders>
              <w:top w:val="nil"/>
              <w:left w:val="nil"/>
              <w:bottom w:val="nil"/>
              <w:right w:val="nil"/>
            </w:tcBorders>
            <w:shd w:val="clear"/>
            <w:tcMar>
              <w:top w:w="180" w:type="dxa"/>
              <w:left w:w="0" w:type="dxa"/>
              <w:bottom w:w="180" w:type="dxa"/>
              <w:right w:w="0" w:type="dxa"/>
            </w:tcMar>
            <w:vAlign w:val="center"/>
          </w:tcPr>
          <w:p w14:paraId="5960863E">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成文日期：</w:t>
            </w:r>
          </w:p>
        </w:tc>
        <w:tc>
          <w:tcPr>
            <w:tcW w:w="6035" w:type="dxa"/>
            <w:tcBorders>
              <w:top w:val="nil"/>
              <w:left w:val="nil"/>
              <w:bottom w:val="nil"/>
              <w:right w:val="nil"/>
            </w:tcBorders>
            <w:shd w:val="clear"/>
            <w:tcMar>
              <w:top w:w="180" w:type="dxa"/>
              <w:left w:w="0" w:type="dxa"/>
              <w:bottom w:w="180" w:type="dxa"/>
              <w:right w:w="0" w:type="dxa"/>
            </w:tcMar>
            <w:vAlign w:val="center"/>
          </w:tcPr>
          <w:p w14:paraId="65B9FF13">
            <w:pPr>
              <w:keepNext w:val="0"/>
              <w:keepLines w:val="0"/>
              <w:widowControl/>
              <w:suppressLineNumbers w:val="0"/>
              <w:spacing w:before="0" w:beforeAutospacing="0" w:after="0" w:afterAutospacing="0" w:line="360" w:lineRule="atLeast"/>
              <w:ind w:left="0" w:right="0"/>
              <w:jc w:val="left"/>
              <w:rPr>
                <w:rFonts w:hint="eastAsia" w:ascii="宋体" w:hAnsi="宋体" w:eastAsia="宋体" w:cs="宋体"/>
                <w:color w:val="545454"/>
                <w:sz w:val="21"/>
                <w:szCs w:val="21"/>
              </w:rPr>
            </w:pPr>
            <w:r>
              <w:rPr>
                <w:rFonts w:hint="eastAsia" w:ascii="宋体" w:hAnsi="宋体" w:eastAsia="宋体" w:cs="宋体"/>
                <w:color w:val="545454"/>
                <w:kern w:val="0"/>
                <w:sz w:val="21"/>
                <w:szCs w:val="21"/>
                <w:bdr w:val="none" w:color="auto" w:sz="0" w:space="0"/>
                <w:lang w:val="en-US" w:eastAsia="zh-CN" w:bidi="ar"/>
              </w:rPr>
              <w:t>2023年11月01日</w:t>
            </w:r>
          </w:p>
        </w:tc>
        <w:tc>
          <w:tcPr>
            <w:tcW w:w="0" w:type="auto"/>
            <w:tcBorders>
              <w:top w:val="nil"/>
              <w:left w:val="nil"/>
              <w:bottom w:val="nil"/>
              <w:right w:val="nil"/>
            </w:tcBorders>
            <w:shd w:val="clear"/>
            <w:vAlign w:val="center"/>
          </w:tcPr>
          <w:p w14:paraId="28D1132F">
            <w:pPr>
              <w:rPr>
                <w:rFonts w:hint="eastAsia" w:ascii="宋体"/>
                <w:sz w:val="24"/>
                <w:szCs w:val="24"/>
              </w:rPr>
            </w:pPr>
          </w:p>
        </w:tc>
        <w:tc>
          <w:tcPr>
            <w:tcW w:w="0" w:type="auto"/>
            <w:tcBorders>
              <w:top w:val="nil"/>
              <w:left w:val="nil"/>
              <w:bottom w:val="nil"/>
              <w:right w:val="nil"/>
            </w:tcBorders>
            <w:shd w:val="clear"/>
            <w:vAlign w:val="center"/>
          </w:tcPr>
          <w:p w14:paraId="4D6CC04A">
            <w:pPr>
              <w:rPr>
                <w:rFonts w:hint="eastAsia" w:ascii="宋体"/>
                <w:sz w:val="24"/>
                <w:szCs w:val="24"/>
              </w:rPr>
            </w:pPr>
          </w:p>
        </w:tc>
      </w:tr>
    </w:tbl>
    <w:p w14:paraId="5E1614CF">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center"/>
        <w:rPr>
          <w:rFonts w:ascii="楷体" w:hAnsi="楷体" w:eastAsia="楷体" w:cs="楷体"/>
          <w:i w:val="0"/>
          <w:iCs w:val="0"/>
          <w:caps w:val="0"/>
          <w:color w:val="333333"/>
          <w:spacing w:val="0"/>
          <w:sz w:val="24"/>
          <w:szCs w:val="24"/>
          <w:bdr w:val="none" w:color="auto" w:sz="0" w:space="0"/>
          <w:shd w:val="clear" w:fill="FFFFFF"/>
        </w:rPr>
      </w:pPr>
      <w:r>
        <w:rPr>
          <w:rStyle w:val="5"/>
          <w:rFonts w:hint="eastAsia" w:ascii="宋体" w:hAnsi="宋体" w:eastAsia="宋体" w:cs="宋体"/>
          <w:i w:val="0"/>
          <w:iCs w:val="0"/>
          <w:caps w:val="0"/>
          <w:color w:val="333333"/>
          <w:spacing w:val="0"/>
          <w:sz w:val="36"/>
          <w:szCs w:val="36"/>
          <w:bdr w:val="none" w:color="auto" w:sz="0" w:space="0"/>
          <w:shd w:val="clear" w:fill="FFFFFF"/>
        </w:rPr>
        <w:t>关于印发居家和社区医养结合服务指南（试行）的通知</w:t>
      </w:r>
      <w:r>
        <w:rPr>
          <w:rFonts w:hint="eastAsia" w:ascii="宋体" w:hAnsi="宋体" w:eastAsia="宋体" w:cs="宋体"/>
          <w:i w:val="0"/>
          <w:iCs w:val="0"/>
          <w:caps w:val="0"/>
          <w:color w:val="333333"/>
          <w:spacing w:val="0"/>
          <w:sz w:val="24"/>
          <w:szCs w:val="24"/>
          <w:bdr w:val="none" w:color="auto" w:sz="0" w:space="0"/>
          <w:shd w:val="clear" w:fill="FFFFFF"/>
        </w:rPr>
        <w:br w:type="textWrapping"/>
      </w:r>
      <w:bookmarkStart w:id="0" w:name="_GoBack"/>
      <w:bookmarkEnd w:id="0"/>
      <w:r>
        <w:rPr>
          <w:rFonts w:ascii="楷体" w:hAnsi="楷体" w:eastAsia="楷体" w:cs="楷体"/>
          <w:i w:val="0"/>
          <w:iCs w:val="0"/>
          <w:caps w:val="0"/>
          <w:color w:val="333333"/>
          <w:spacing w:val="0"/>
          <w:sz w:val="24"/>
          <w:szCs w:val="24"/>
          <w:bdr w:val="none" w:color="auto" w:sz="0" w:space="0"/>
          <w:shd w:val="clear" w:fill="FFFFFF"/>
        </w:rPr>
        <w:t>国卫办老龄发〔2023〕18号</w:t>
      </w:r>
    </w:p>
    <w:p w14:paraId="61F21529">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center"/>
        <w:rPr>
          <w:rFonts w:ascii="楷体" w:hAnsi="楷体" w:eastAsia="楷体" w:cs="楷体"/>
          <w:i w:val="0"/>
          <w:iCs w:val="0"/>
          <w:caps w:val="0"/>
          <w:color w:val="333333"/>
          <w:spacing w:val="0"/>
          <w:sz w:val="24"/>
          <w:szCs w:val="24"/>
          <w:bdr w:val="none" w:color="auto" w:sz="0" w:space="0"/>
          <w:shd w:val="clear" w:fill="FFFFFF"/>
        </w:rPr>
      </w:pPr>
      <w:r>
        <w:rPr>
          <w:rStyle w:val="5"/>
          <w:rFonts w:hint="eastAsia" w:ascii="宋体" w:hAnsi="宋体" w:eastAsia="宋体" w:cs="宋体"/>
          <w:i w:val="0"/>
          <w:iCs w:val="0"/>
          <w:caps w:val="0"/>
          <w:color w:val="333333"/>
          <w:spacing w:val="0"/>
          <w:sz w:val="16"/>
          <w:szCs w:val="16"/>
          <w:shd w:val="clear" w:fill="FFFFFF"/>
        </w:rPr>
        <w:t>关于印发居家和社区医养结合服务指南（试行）的通知</w:t>
      </w:r>
      <w:r>
        <w:rPr>
          <w:rStyle w:val="5"/>
          <w:rFonts w:hint="eastAsia" w:ascii="宋体" w:hAnsi="宋体" w:eastAsia="宋体" w:cs="宋体"/>
          <w:i w:val="0"/>
          <w:iCs w:val="0"/>
          <w:caps w:val="0"/>
          <w:color w:val="333333"/>
          <w:spacing w:val="0"/>
          <w:sz w:val="16"/>
          <w:szCs w:val="16"/>
          <w:shd w:val="clear" w:fill="FFFFFF"/>
          <w:lang w:val="en-US" w:eastAsia="zh-CN"/>
        </w:rPr>
        <w:t xml:space="preserve"> </w:t>
      </w:r>
      <w:r>
        <w:rPr>
          <w:rFonts w:ascii="楷体" w:hAnsi="楷体" w:eastAsia="楷体" w:cs="楷体"/>
          <w:i w:val="0"/>
          <w:iCs w:val="0"/>
          <w:caps w:val="0"/>
          <w:color w:val="333333"/>
          <w:spacing w:val="0"/>
          <w:sz w:val="16"/>
          <w:szCs w:val="16"/>
          <w:shd w:val="clear" w:fill="FFFFFF"/>
        </w:rPr>
        <w:t>国卫办老龄发〔2023〕18号</w:t>
      </w:r>
      <w:r>
        <w:rPr>
          <w:rFonts w:hint="eastAsia" w:ascii="宋体" w:hAnsi="宋体" w:eastAsia="宋体" w:cs="宋体"/>
          <w:i w:val="0"/>
          <w:iCs w:val="0"/>
          <w:caps w:val="0"/>
          <w:color w:val="333333"/>
          <w:spacing w:val="0"/>
          <w:sz w:val="24"/>
          <w:szCs w:val="24"/>
          <w:shd w:val="clear" w:fill="FFFFFF"/>
        </w:rPr>
        <w:br w:type="textWrapping"/>
      </w:r>
    </w:p>
    <w:p w14:paraId="5DF099CB">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pPr>
      <w:r>
        <w:rPr>
          <w:rFonts w:hint="eastAsia" w:ascii="宋体" w:hAnsi="宋体" w:eastAsia="宋体" w:cs="宋体"/>
          <w:i w:val="0"/>
          <w:iCs w:val="0"/>
          <w:caps w:val="0"/>
          <w:color w:val="333333"/>
          <w:spacing w:val="0"/>
          <w:sz w:val="24"/>
          <w:szCs w:val="24"/>
          <w:bdr w:val="none" w:color="auto" w:sz="0" w:space="0"/>
          <w:shd w:val="clear" w:fill="FFFFFF"/>
        </w:rPr>
        <w:t>各省、自治区、直辖市及新疆生产建设兵团卫生健康委、中医药局、疾控局：</w:t>
      </w:r>
    </w:p>
    <w:p w14:paraId="412975A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为认真贯彻党中央、国务院决策部署，落实国家卫生健康委等部门《关于进一步推进医养结合发展的指导意见》（国卫老龄发〔2022〕25号）要求，进一步规范居家和社区医养结合服务内容，提高服务质量，国家卫生健康委、国家中医药局、国家疾控局研究制定了《居家和社区医养结合服务指南（试行）》（可从国家卫生健康委网站下载）。现印发给你们，请结合实际参照执行。</w:t>
      </w:r>
    </w:p>
    <w:p w14:paraId="74EC8270">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right"/>
      </w:pPr>
      <w:r>
        <w:rPr>
          <w:rFonts w:hint="eastAsia" w:ascii="宋体" w:hAnsi="宋体" w:eastAsia="宋体" w:cs="宋体"/>
          <w:i w:val="0"/>
          <w:iCs w:val="0"/>
          <w:caps w:val="0"/>
          <w:color w:val="333333"/>
          <w:spacing w:val="0"/>
          <w:sz w:val="24"/>
          <w:szCs w:val="24"/>
          <w:bdr w:val="none" w:color="auto" w:sz="0" w:space="0"/>
          <w:shd w:val="clear" w:fill="FFFFFF"/>
        </w:rPr>
        <w:t>国家卫生健康委办公厅 国家中医药局综合司</w:t>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hint="eastAsia" w:ascii="宋体" w:hAnsi="宋体" w:eastAsia="宋体" w:cs="宋体"/>
          <w:i w:val="0"/>
          <w:iCs w:val="0"/>
          <w:caps w:val="0"/>
          <w:color w:val="333333"/>
          <w:spacing w:val="0"/>
          <w:sz w:val="24"/>
          <w:szCs w:val="24"/>
          <w:bdr w:val="none" w:color="auto" w:sz="0" w:space="0"/>
          <w:shd w:val="clear" w:fill="FFFFFF"/>
        </w:rPr>
        <w:t>国家疾控局综合司</w:t>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hint="eastAsia" w:ascii="宋体" w:hAnsi="宋体" w:eastAsia="宋体" w:cs="宋体"/>
          <w:i w:val="0"/>
          <w:iCs w:val="0"/>
          <w:caps w:val="0"/>
          <w:color w:val="333333"/>
          <w:spacing w:val="0"/>
          <w:sz w:val="24"/>
          <w:szCs w:val="24"/>
          <w:bdr w:val="none" w:color="auto" w:sz="0" w:space="0"/>
          <w:shd w:val="clear" w:fill="FFFFFF"/>
        </w:rPr>
        <w:t>2023年11月1日</w:t>
      </w:r>
    </w:p>
    <w:p w14:paraId="647F46FD">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（信息公开形式：主动公开）</w:t>
      </w:r>
    </w:p>
    <w:p w14:paraId="626DA6D7">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0"/>
        <w:jc w:val="center"/>
        <w:rPr>
          <w:sz w:val="36"/>
          <w:szCs w:val="36"/>
        </w:rPr>
      </w:pPr>
      <w:r>
        <w:rPr>
          <w:rStyle w:val="5"/>
          <w:rFonts w:hint="eastAsia" w:ascii="宋体" w:hAnsi="宋体" w:eastAsia="宋体" w:cs="宋体"/>
          <w:i w:val="0"/>
          <w:iCs w:val="0"/>
          <w:caps w:val="0"/>
          <w:color w:val="333333"/>
          <w:spacing w:val="0"/>
          <w:sz w:val="36"/>
          <w:szCs w:val="36"/>
          <w:bdr w:val="none" w:color="auto" w:sz="0" w:space="0"/>
          <w:shd w:val="clear" w:fill="FFFFFF"/>
        </w:rPr>
        <w:t>居家和社区医养结合服务指南（试行）</w:t>
      </w:r>
    </w:p>
    <w:p w14:paraId="392AD153">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一、总则</w:t>
      </w:r>
    </w:p>
    <w:p w14:paraId="67C6592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为进一步规范居家和社区医养结合服务内容，提高服务质量，经调查研究，参考相关部门标准规范，遵循全面性、准确性、时效性和实用性的原则，制定本指南。</w:t>
      </w:r>
    </w:p>
    <w:p w14:paraId="758356E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本指南所称居家和社区医养结合服务是指有条件的医疗卫生机构通过多种方式为居家养老和社区养老的老年人提供所需的医疗卫生服务，包括到老年人家中或社区养老服务设施或机构，为有需求的老年人提供医疗巡诊、家庭病床、居家医疗服务等医疗卫生服务。</w:t>
      </w:r>
    </w:p>
    <w:p w14:paraId="020FE3EB">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本指南适用于提供居家和社区医养结合服务的各级各类医疗卫生机构，对医疗卫生机构在居家和社区环境下所提供的医养结合服务内容和服务要求作出了规范，医疗卫生机构可以根据机构类型、执业范围、服务能力和老年人需求确定服务内容。相关机构提供的医疗卫生服务应适用现行医疗卫生服务的规范、标准和管理规定。</w:t>
      </w:r>
    </w:p>
    <w:p w14:paraId="24C91AB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二、基本要求 </w:t>
      </w:r>
    </w:p>
    <w:p w14:paraId="261138BE">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（一）机构资质、设施设备</w:t>
      </w:r>
    </w:p>
    <w:p w14:paraId="2BC4D079">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应当具备相应的资质和能力。医疗卫生机构应依法取得医疗机构执业许可或在卫生健康行政部门（含中医药主管部门，下同）备案。开展居家医疗服务的医疗机构还应具有与所开展居家医疗服务相应的诊疗科目并已具备家庭病床、巡诊等服务方式，重点是二级及以下医院，基层医疗卫生机构等。</w:t>
      </w:r>
    </w:p>
    <w:p w14:paraId="70641CB3">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2.提供居家和社区医养结合服务的医疗卫生机构，其科室设置、设施设备配备应符合医疗卫生机构国家和行业现行标准，确保服务质量和安全，为老年人提供优质、专业的服务。</w:t>
      </w:r>
    </w:p>
    <w:p w14:paraId="0B63375F">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（二）服务人员资质</w:t>
      </w:r>
    </w:p>
    <w:p w14:paraId="5225FC5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1.医务人员应当具有相关部门颁发的执业资格证书或相应的专业技术职称。提供居家医疗服务的医务人员应符合《关于加强老年人居家医疗服务工作的通知》有关要求。</w:t>
      </w:r>
    </w:p>
    <w:p w14:paraId="306814D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2.医疗护理员应当经相关培训合格后上岗，具有良好职业道德，掌握相应知识和技能。</w:t>
      </w:r>
    </w:p>
    <w:p w14:paraId="2310142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3.根据服务需要聘请的营养指导员、公共营养师、心理咨询师、健康管理师、社会工作者等人员应持有相关部门颁发的资格证书等证明材料。</w:t>
      </w:r>
    </w:p>
    <w:p w14:paraId="0DBE4ECF">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三、服务内容与要求</w:t>
      </w:r>
    </w:p>
    <w:p w14:paraId="2073386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居家和社区医养结合服务的服务对象是辖区内有医养结合服务需求的居家养老和社区养老的老年人，重点是失能（含失智，下同）、慢性病、高龄、残疾、疾病康复或终末期，出院后仍需医疗服务的老年人。服务内容包括健康教育、健康管理服务、医疗巡诊服务、家庭病床服务、居家医疗服务、中医药服务、心理精神支持服务、转诊服务等。</w:t>
      </w:r>
    </w:p>
    <w:p w14:paraId="3C389BC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（一）健康教育</w:t>
      </w:r>
    </w:p>
    <w:p w14:paraId="6C32F14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医疗卫生机构应利用多种方式和媒体媒介，面向老年人及其照护者广泛传播运动健身、心理健康、伤害预防、合理用药、生命教育等健康科普知识。有条件的医疗卫生机构可针对老年人举办健康知识讲座，开展老年健康宣传周、敬老月、重阳节等活动，制作发放健康教育宣传资料，引导老年人形成健康生活方式，提升老年人健康素养。</w:t>
      </w:r>
    </w:p>
    <w:p w14:paraId="76DD79BF">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（二）健康管理服务</w:t>
      </w:r>
    </w:p>
    <w:p w14:paraId="1A8111CB">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基层医疗卫生机构应按照国家基本公共卫生服务规范，为老年人建立健康档案，并根据老年人健康状况提供老年人健康管理、高血压患者健康管理、2型糖尿病患者健康管理、中医药健康管理等基本公共卫生服务。有条件的基层医疗卫生机构可为老年人提供针对性保健咨询、营养改善指导等服务。</w:t>
      </w:r>
    </w:p>
    <w:p w14:paraId="42D5AAA2">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（三）医疗巡诊服务</w:t>
      </w:r>
    </w:p>
    <w:p w14:paraId="45F844CD">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有条件的医疗卫生机构可根据资源配置情况，为有需求的老年人提供医疗巡诊服务，包括居家上门巡诊和社区巡诊，主要为老年患者提供常见病多发病诊疗、诊断明确的慢性病治疗、应急救护等基本医疗服务。有条件的社区养老服务机构可与开展远程医疗服务的医疗卫生机构合作，为入住老年人提供远程会诊等服务。有条件的基层医疗卫生机构可利用便携医疗设备，结合基本公共卫生服务和家庭医生签约服务，定期开展社区巡诊服务。</w:t>
      </w:r>
    </w:p>
    <w:p w14:paraId="7187A8E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（四）家庭病床服务</w:t>
      </w:r>
    </w:p>
    <w:p w14:paraId="252D5ECD">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医疗卫生机构可根据资源配置情况，为符合条件的居家老年人和社区养老服务机构入住老年人提供家庭病床服务。服务对象应是行动不便、诊断明确、病情稳定、适合在家庭或社区养老服务机构进行检查、治疗和护理的老年患者。服务项目应为在家庭或社区养老服务机构条件下医疗安全能得到保障、治疗效果较为确切、消毒隔离能达到要求、医疗器械便于携带、非创伤性、不容易失血和不容易引起严重过敏的项目。</w:t>
      </w:r>
    </w:p>
    <w:p w14:paraId="43A9EB6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（五）居家医疗服务</w:t>
      </w:r>
    </w:p>
    <w:p w14:paraId="3FD86DBE">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有条件的医疗卫生机构应按照《关于加强老年人居家医疗服务工作的通知》的有关要求，为有需求的老年人提供诊疗、康复护理、安宁疗护等上门服务。原则上，以需求量大、医疗风险低、适宜居家操作实施的服务项目为宜。医务人员在提供相应服务过程中应遵循《老年护理实践指南（试行）》《安宁疗护实践指南（试行）》等，规范服务行为。</w:t>
      </w:r>
    </w:p>
    <w:p w14:paraId="3D864247">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（六）中医药服务</w:t>
      </w:r>
    </w:p>
    <w:p w14:paraId="71219DF1">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医疗卫生机构可利用中医药技术方法，为老年人提供常见病、多发病、慢性病的中医诊疗服务，中医药康复服务及中医健康状态辨识与评估、咨询指导、健康管理等服务，推广使用针刺、推拿、刮痧、拔罐、艾灸、熏洗等中医适宜技术。有条件的医疗卫生机构可为老年人提供中医养生保健、中医护理、膳食营养指导等服务，对老年人个性化起居养生、膳食调养、情志调养、传统体育运动等进行健康指导。</w:t>
      </w:r>
    </w:p>
    <w:p w14:paraId="5E677F4E">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（七）心理精神支持服务</w:t>
      </w:r>
    </w:p>
    <w:p w14:paraId="3B3EE7AF">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有条件的医疗卫生机构可为有需求的老年人提供环境适应、情绪疏导、心理支持、危机干预、情志调节等心理精神支持服务。了解和掌握老年人心理和精神状况，发现异常及时与老年人沟通并告知第三方，必要时请医护人员、社会工作者等专业人员协助处理或转至专业医疗机构。有条件的医疗卫生机构可定期组织志愿者为老年人提供服务，促进老年人与外界社会接触交往。</w:t>
      </w:r>
    </w:p>
    <w:p w14:paraId="62C2DC8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（八）转诊服务</w:t>
      </w:r>
    </w:p>
    <w:p w14:paraId="1869C3B2">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对于居家或社区养老的有需求并符合转诊条件的疑难病、危急重症老年患者，巡诊的医疗卫生机构应积极响应及时将其转诊至综合医院或专科医院。对于经治疗出院在居家或社区养老的仍需要慢性病治疗、康复、护理的老年患者，负责辖区巡诊的医疗卫生机构可根据病情和医疗机构医嘱按规定开具处方，并提供必要的家庭病床、随访、病例管理、康复、护理等服务。</w:t>
      </w:r>
    </w:p>
    <w:p w14:paraId="7A6E6093">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Style w:val="5"/>
          <w:rFonts w:hint="eastAsia" w:ascii="宋体" w:hAnsi="宋体" w:eastAsia="宋体" w:cs="宋体"/>
          <w:i w:val="0"/>
          <w:iCs w:val="0"/>
          <w:caps w:val="0"/>
          <w:color w:val="333333"/>
          <w:spacing w:val="0"/>
          <w:sz w:val="24"/>
          <w:szCs w:val="24"/>
          <w:bdr w:val="none" w:color="auto" w:sz="0" w:space="0"/>
          <w:shd w:val="clear" w:fill="FFFFFF"/>
        </w:rPr>
        <w:t>四、服务流程与要求</w:t>
      </w:r>
    </w:p>
    <w:p w14:paraId="5D012953">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（一）服务流程</w:t>
      </w:r>
    </w:p>
    <w:p w14:paraId="70ECB996">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医疗卫生机构医护人员到老年人家中、社区养老服务设施或机构提供居家和社区医养结合服务，具体流程主要包括服务对象提出申请、医务人员开展评估、签署知情同意书、提供服务、做好记录、总结提升等。本服务流程为推荐性流程，具体可根据服务实际情况适当调整。</w:t>
      </w:r>
    </w:p>
    <w:p w14:paraId="028DF25E">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提出申请。确有居家和社区医养结合服务需求的老年人可通过现场、电话、网络等途径向相关医疗卫生机构提出服务申请，医疗卫生机构应向老年人简要介绍服务的相关内容，并登记留存老年人健康状况、需求及个人信息。</w:t>
      </w:r>
    </w:p>
    <w:p w14:paraId="21E1844C">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开展评估。工作人员可通过面对面、电话、视频、询问或实地考察等方式详细了解老年人的疾病情况、健康需求、服务环境、执业风险等情况，结合医疗卫生机构自身服务能力，综合判断能否为该老年人提供服务，以及可以提供的服务内容。经评估为可以提供服务的，则派出具备相应资质和技术能力的医护人员提供相关服务。</w:t>
      </w:r>
    </w:p>
    <w:p w14:paraId="24766053">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3.知情同意。相关医疗卫生机构在为居家和社区养老的老年人提供服务前，应先与老年人或其家属沟通，提前告知服务过程中可能存在的隐患与风险，签署知情同意书。</w:t>
      </w:r>
    </w:p>
    <w:p w14:paraId="38B0A414">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4.提供服务。工作人员到达服务场所后，根据相关要求开展服务，及时向老年人及其家属解释所做的必要操作，服务过程中要保证服务质量。</w:t>
      </w:r>
    </w:p>
    <w:p w14:paraId="3D15C2A8">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5.做好记录。服务完毕后及时、准确填写服务记录，保证服务提供相关信息的可追溯性与可追踪性，服务过程中形成的文件、档案等内容及时汇总、分类和归档，跟进老年人对服务的评价情况并记录入档。</w:t>
      </w:r>
    </w:p>
    <w:p w14:paraId="7FDEA7E2">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6.总结提升。对开展居家和社区医养结合服务的情况进行总结，结合老年人对服务的评价情况及时改进服务，不断提升服务质量。</w:t>
      </w:r>
    </w:p>
    <w:p w14:paraId="11AE01B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（二）有关要求</w:t>
      </w:r>
    </w:p>
    <w:p w14:paraId="09E897B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1.应尊重老年人的权利，维护老年人的尊严，保护老年人的隐私，为老年人提供服务以维持并更好地发挥其现有能力。</w:t>
      </w:r>
    </w:p>
    <w:p w14:paraId="4807FFF4">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2.提供的医疗卫生服务应当符合相关法律法规和标准规范，落实各项医疗质量安全管理核心制度，确保医疗卫生安全。</w:t>
      </w:r>
    </w:p>
    <w:p w14:paraId="4CA079A6">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3.医疗卫生机构应严格执行传染病防治法等法律法规及相关管理制度、操作规范，制定传染病应急预案，防止传染病的医源性感染和院内感染。发现有关传染病疫情时，应当按要求及时报告并采取相关必要措施。</w:t>
      </w:r>
    </w:p>
    <w:p w14:paraId="37B1199A">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4.为老年人提供医养结合服务的相关人员，如医护人员、医疗护理员等要加强信息沟通交流。有条件的地方要充分发挥社区工作者的作用，应当建立社区工作者与上述服务人员的联动工作机制，共同为老年人做好服务保障。居家、社区老年医疗护理员提供的服务可参照《居家、社区老年医疗护理员服务标准》（WS/T 803-2022）。</w:t>
      </w:r>
    </w:p>
    <w:p w14:paraId="737B04BB">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5.公立医疗卫生机构在内部绩效分配时，对完成居家医疗、医养结合签约等服务较好的医务人员给予适当倾斜。</w:t>
      </w:r>
    </w:p>
    <w:p w14:paraId="75CA0720">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6.医疗卫生机构应建立健全对提供居家医养结合服务人员的安全风险应对机制，如对服务对象身份信息、病历资料、家庭签约协议、健康档案等资料进行核验；提供居家服务时，要求应有具备完全民事行为能力的患者家属或看护人员在场；为服务人员提供手机APP定位追踪系统，配置工作记录仪等装置，购买责任险、人身意外伤害险等，切实保障双方安全。</w:t>
      </w:r>
    </w:p>
    <w:p w14:paraId="11BBCC3C">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7.医疗卫生机构如与社区养老服务机构签约合作，服务方式与内容参照《医疗卫生机构与养老服务机构签约合作服务指南（试行）》。</w:t>
      </w:r>
    </w:p>
    <w:p w14:paraId="7A95BE45">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8.医疗卫生机构在机构内提供的医养结合服务，内容和要求参照《医养结合机构服务指南（试行）》。</w:t>
      </w:r>
    </w:p>
    <w:p w14:paraId="0A5B312D">
      <w:pPr>
        <w:pStyle w:val="2"/>
        <w:keepNext w:val="0"/>
        <w:keepLines w:val="0"/>
        <w:widowControl/>
        <w:suppressLineNumbers w:val="0"/>
        <w:pBdr>
          <w:top w:val="none" w:color="auto" w:sz="0" w:space="0"/>
          <w:left w:val="none" w:color="auto" w:sz="0" w:space="0"/>
          <w:bottom w:val="none" w:color="auto" w:sz="0" w:space="0"/>
          <w:right w:val="none" w:color="auto" w:sz="0" w:space="0"/>
        </w:pBdr>
        <w:spacing w:after="226" w:afterAutospacing="0" w:line="450" w:lineRule="atLeast"/>
        <w:ind w:left="0" w:right="0" w:firstLine="420"/>
      </w:pPr>
      <w:r>
        <w:rPr>
          <w:rFonts w:hint="eastAsia" w:ascii="宋体" w:hAnsi="宋体" w:eastAsia="宋体" w:cs="宋体"/>
          <w:i w:val="0"/>
          <w:iCs w:val="0"/>
          <w:caps w:val="0"/>
          <w:color w:val="333333"/>
          <w:spacing w:val="0"/>
          <w:sz w:val="24"/>
          <w:szCs w:val="24"/>
          <w:bdr w:val="none" w:color="auto" w:sz="0" w:space="0"/>
          <w:shd w:val="clear" w:fill="FFFFFF"/>
        </w:rPr>
        <w:t>9.生活照料、家庭养老床位等居家和社区相关养老服务适用养老服务有关标准规范。</w:t>
      </w:r>
    </w:p>
    <w:p w14:paraId="5F783E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719E5"/>
    <w:multiLevelType w:val="multilevel"/>
    <w:tmpl w:val="972719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0CDA7A06"/>
    <w:rsid w:val="0CDA7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 w:type="paragraph" w:styleId="7">
    <w:name w:val=""/>
    <w:basedOn w:val="1"/>
    <w:next w:val="1"/>
    <w:uiPriority w:val="0"/>
    <w:pPr>
      <w:pBdr>
        <w:bottom w:val="single" w:color="auto" w:sz="6" w:space="1"/>
      </w:pBdr>
      <w:jc w:val="center"/>
    </w:pPr>
    <w:rPr>
      <w:rFonts w:ascii="Arial" w:eastAsia="宋体"/>
      <w:vanish/>
      <w:sz w:val="16"/>
    </w:rPr>
  </w:style>
  <w:style w:type="paragraph" w:styleId="8">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hyperlink" Target="https://www.gov.cn/"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2024-10-14T06:55:00Z</dcterms:created>
  <dc:creator>serenarh</dc:creator>
  <cp:lastModifiedBy>serenarh</cp:lastModifiedBy>
  <dcterms:modified xsi:type="dcterms:W3CDTF">2024-10-14T07:01:31Z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4E4315B54C6C448CB4A6A724DEBF22CF_11</vt:lpwstr>
  </property>
</Properties>
</file>