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FC1EE">
      <w:r>
        <w:rPr>
          <w:rFonts w:hint="eastAsia"/>
        </w:rPr>
        <w:t xml:space="preserve"> </w:t>
      </w:r>
    </w:p>
    <w:p w14:paraId="662C0CC4">
      <w:pPr>
        <w:tabs>
          <w:tab w:val="left" w:pos="2355"/>
        </w:tabs>
        <w:rPr>
          <w:rFonts w:hint="eastAsia" w:eastAsiaTheme="minor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14:textFill>
            <w14:solidFill>
              <w14:schemeClr w14:val="tx1"/>
            </w14:solidFill>
          </w14:textFill>
        </w:rPr>
        <w:t>附件</w:t>
      </w:r>
      <w:r>
        <w:rPr>
          <w:rFonts w:hint="eastAsia"/>
          <w:b/>
          <w:bCs/>
          <w:color w:val="000000" w:themeColor="text1"/>
          <w:sz w:val="28"/>
          <w:szCs w:val="28"/>
          <w:lang w:val="en-US" w:eastAsia="zh-CN"/>
          <w14:textFill>
            <w14:solidFill>
              <w14:schemeClr w14:val="tx1"/>
            </w14:solidFill>
          </w14:textFill>
        </w:rPr>
        <w:t>三</w:t>
      </w:r>
      <w:bookmarkStart w:id="1" w:name="_GoBack"/>
      <w:bookmarkEnd w:id="1"/>
    </w:p>
    <w:p w14:paraId="63F4CCE5">
      <w:pPr>
        <w:tabs>
          <w:tab w:val="left" w:pos="2355"/>
        </w:tabs>
        <w:jc w:val="center"/>
        <w:rPr>
          <w:b/>
          <w:bCs/>
          <w:sz w:val="30"/>
          <w:szCs w:val="30"/>
        </w:rPr>
      </w:pPr>
      <w:r>
        <w:rPr>
          <w:rFonts w:hint="eastAsia"/>
          <w:b/>
          <w:bCs/>
          <w:color w:val="000000" w:themeColor="text1"/>
          <w:sz w:val="30"/>
          <w:szCs w:val="30"/>
          <w14:textFill>
            <w14:solidFill>
              <w14:schemeClr w14:val="tx1"/>
            </w14:solidFill>
          </w14:textFill>
        </w:rPr>
        <w:t>代理商政策</w:t>
      </w:r>
    </w:p>
    <w:p w14:paraId="68199A1F">
      <w:pPr>
        <w:tabs>
          <w:tab w:val="left" w:pos="2355"/>
        </w:tabs>
        <w:rPr>
          <w:b/>
          <w:bCs/>
          <w:sz w:val="24"/>
          <w:szCs w:val="24"/>
        </w:rPr>
      </w:pPr>
    </w:p>
    <w:p w14:paraId="06465B1E">
      <w:pPr>
        <w:pStyle w:val="6"/>
        <w:numPr>
          <w:ilvl w:val="0"/>
          <w:numId w:val="1"/>
        </w:numPr>
        <w:tabs>
          <w:tab w:val="left" w:pos="2355"/>
        </w:tabs>
        <w:ind w:firstLineChars="0"/>
        <w:rPr>
          <w:sz w:val="24"/>
          <w:szCs w:val="24"/>
        </w:rPr>
      </w:pPr>
      <w:r>
        <w:rPr>
          <w:rFonts w:hint="eastAsia"/>
          <w:sz w:val="24"/>
          <w:szCs w:val="24"/>
        </w:rPr>
        <w:t xml:space="preserve">保证金 </w:t>
      </w:r>
    </w:p>
    <w:p w14:paraId="4683BFEF">
      <w:pPr>
        <w:pStyle w:val="6"/>
        <w:tabs>
          <w:tab w:val="left" w:pos="2355"/>
        </w:tabs>
        <w:ind w:left="780" w:firstLine="0" w:firstLineChars="0"/>
        <w:rPr>
          <w:sz w:val="24"/>
          <w:szCs w:val="24"/>
        </w:rPr>
      </w:pPr>
      <w:r>
        <w:rPr>
          <w:rFonts w:hint="eastAsia"/>
          <w:sz w:val="24"/>
          <w:szCs w:val="24"/>
        </w:rPr>
        <w:t>为保障公司市场开拓顺利进行，避免代理商占据目标医院不进行开发拓展，代理商应向公司交纳保证金。具体如下</w:t>
      </w:r>
    </w:p>
    <w:p w14:paraId="37072B6B">
      <w:pPr>
        <w:pStyle w:val="6"/>
        <w:numPr>
          <w:ilvl w:val="0"/>
          <w:numId w:val="2"/>
        </w:numPr>
        <w:tabs>
          <w:tab w:val="left" w:pos="2355"/>
        </w:tabs>
        <w:ind w:firstLineChars="0"/>
        <w:rPr>
          <w:rFonts w:asciiTheme="minorEastAsia" w:hAnsiTheme="minorEastAsia"/>
          <w:sz w:val="24"/>
          <w:szCs w:val="24"/>
        </w:rPr>
      </w:pPr>
      <w:bookmarkStart w:id="0" w:name="_Hlk208478822"/>
      <w:r>
        <w:rPr>
          <w:rFonts w:hint="eastAsia"/>
          <w:sz w:val="24"/>
          <w:szCs w:val="24"/>
        </w:rPr>
        <w:t xml:space="preserve">三甲医院 </w:t>
      </w:r>
      <w:r>
        <w:rPr>
          <w:sz w:val="24"/>
          <w:szCs w:val="24"/>
        </w:rPr>
        <w:t xml:space="preserve">           </w:t>
      </w:r>
      <w:r>
        <w:rPr>
          <w:rFonts w:hint="eastAsia"/>
          <w:sz w:val="24"/>
          <w:szCs w:val="24"/>
        </w:rPr>
        <w:t xml:space="preserve"> </w:t>
      </w:r>
      <w:r>
        <w:rPr>
          <w:sz w:val="24"/>
          <w:szCs w:val="24"/>
        </w:rPr>
        <w:t>5000</w:t>
      </w:r>
      <w:r>
        <w:rPr>
          <w:rFonts w:hint="eastAsia"/>
          <w:sz w:val="24"/>
          <w:szCs w:val="24"/>
        </w:rPr>
        <w:t>元</w:t>
      </w:r>
      <w:r>
        <w:rPr>
          <w:rFonts w:hint="eastAsia" w:asciiTheme="minorEastAsia" w:hAnsiTheme="minorEastAsia"/>
          <w:sz w:val="24"/>
          <w:szCs w:val="24"/>
        </w:rPr>
        <w:t>／家</w:t>
      </w:r>
    </w:p>
    <w:p w14:paraId="38E4505C">
      <w:pPr>
        <w:pStyle w:val="6"/>
        <w:numPr>
          <w:ilvl w:val="0"/>
          <w:numId w:val="2"/>
        </w:numPr>
        <w:tabs>
          <w:tab w:val="left" w:pos="2355"/>
        </w:tabs>
        <w:ind w:firstLineChars="0"/>
        <w:rPr>
          <w:sz w:val="24"/>
          <w:szCs w:val="24"/>
        </w:rPr>
      </w:pPr>
      <w:r>
        <w:rPr>
          <w:rFonts w:hint="eastAsia"/>
          <w:sz w:val="24"/>
          <w:szCs w:val="24"/>
        </w:rPr>
        <w:t xml:space="preserve">除三甲以外医院 </w:t>
      </w:r>
      <w:r>
        <w:rPr>
          <w:sz w:val="24"/>
          <w:szCs w:val="24"/>
        </w:rPr>
        <w:t xml:space="preserve">      3000</w:t>
      </w:r>
      <w:r>
        <w:rPr>
          <w:rFonts w:hint="eastAsia"/>
          <w:sz w:val="24"/>
          <w:szCs w:val="24"/>
        </w:rPr>
        <w:t>元</w:t>
      </w:r>
      <w:r>
        <w:rPr>
          <w:rFonts w:hint="eastAsia" w:asciiTheme="minorEastAsia" w:hAnsiTheme="minorEastAsia"/>
          <w:sz w:val="24"/>
          <w:szCs w:val="24"/>
        </w:rPr>
        <w:t>／家</w:t>
      </w:r>
    </w:p>
    <w:bookmarkEnd w:id="0"/>
    <w:p w14:paraId="63B2B996">
      <w:pPr>
        <w:tabs>
          <w:tab w:val="left" w:pos="2355"/>
        </w:tabs>
        <w:ind w:left="780"/>
        <w:rPr>
          <w:sz w:val="24"/>
          <w:szCs w:val="24"/>
        </w:rPr>
      </w:pPr>
      <w:r>
        <w:rPr>
          <w:rFonts w:hint="eastAsia"/>
          <w:sz w:val="24"/>
          <w:szCs w:val="24"/>
        </w:rPr>
        <w:t>备注：本保证金在开发成功后退回代理商，或直接转为货款抵扣，如在开发周期内代理商未能成功开发，应给公司做出解释，未有合适解释，公司可以无条件收回代理权，本保证金则不与退回，作为公司利益损失的补偿。</w:t>
      </w:r>
    </w:p>
    <w:p w14:paraId="56713A2B">
      <w:pPr>
        <w:pStyle w:val="6"/>
        <w:numPr>
          <w:ilvl w:val="0"/>
          <w:numId w:val="3"/>
        </w:numPr>
        <w:tabs>
          <w:tab w:val="left" w:pos="2355"/>
        </w:tabs>
        <w:ind w:firstLineChars="0"/>
        <w:rPr>
          <w:sz w:val="24"/>
          <w:szCs w:val="24"/>
        </w:rPr>
      </w:pPr>
      <w:r>
        <w:rPr>
          <w:rFonts w:hint="eastAsia"/>
          <w:sz w:val="24"/>
          <w:szCs w:val="24"/>
        </w:rPr>
        <w:t>开发周期</w:t>
      </w:r>
    </w:p>
    <w:p w14:paraId="5C842E75">
      <w:pPr>
        <w:pStyle w:val="6"/>
        <w:tabs>
          <w:tab w:val="left" w:pos="2355"/>
        </w:tabs>
        <w:ind w:left="780" w:firstLine="0" w:firstLineChars="0"/>
        <w:rPr>
          <w:rFonts w:asciiTheme="minorEastAsia" w:hAnsiTheme="minorEastAsia"/>
          <w:sz w:val="24"/>
          <w:szCs w:val="24"/>
        </w:rPr>
      </w:pPr>
      <w:r>
        <w:rPr>
          <w:rFonts w:hint="eastAsia"/>
          <w:sz w:val="24"/>
          <w:szCs w:val="24"/>
        </w:rPr>
        <w:t xml:space="preserve">A．三甲医院 </w:t>
      </w:r>
      <w:r>
        <w:rPr>
          <w:sz w:val="24"/>
          <w:szCs w:val="24"/>
        </w:rPr>
        <w:t xml:space="preserve">         </w:t>
      </w:r>
      <w:r>
        <w:rPr>
          <w:rFonts w:hint="eastAsia"/>
          <w:sz w:val="24"/>
          <w:szCs w:val="24"/>
        </w:rPr>
        <w:t>六个月</w:t>
      </w:r>
    </w:p>
    <w:p w14:paraId="1010F4E4">
      <w:pPr>
        <w:pStyle w:val="6"/>
        <w:tabs>
          <w:tab w:val="left" w:pos="2355"/>
        </w:tabs>
        <w:ind w:left="780" w:firstLine="0" w:firstLineChars="0"/>
        <w:rPr>
          <w:sz w:val="24"/>
          <w:szCs w:val="24"/>
        </w:rPr>
      </w:pPr>
      <w:r>
        <w:rPr>
          <w:rFonts w:hint="eastAsia"/>
          <w:sz w:val="24"/>
          <w:szCs w:val="24"/>
        </w:rPr>
        <w:t xml:space="preserve">B．除三甲以外医院 </w:t>
      </w:r>
      <w:r>
        <w:rPr>
          <w:sz w:val="24"/>
          <w:szCs w:val="24"/>
        </w:rPr>
        <w:t xml:space="preserve">    </w:t>
      </w:r>
      <w:r>
        <w:rPr>
          <w:rFonts w:hint="eastAsia"/>
          <w:sz w:val="24"/>
          <w:szCs w:val="24"/>
        </w:rPr>
        <w:t>三个月</w:t>
      </w:r>
    </w:p>
    <w:p w14:paraId="5483E105">
      <w:pPr>
        <w:pStyle w:val="6"/>
        <w:tabs>
          <w:tab w:val="left" w:pos="2355"/>
        </w:tabs>
        <w:ind w:left="780" w:firstLine="0" w:firstLineChars="0"/>
        <w:rPr>
          <w:sz w:val="24"/>
          <w:szCs w:val="24"/>
        </w:rPr>
      </w:pPr>
      <w:r>
        <w:rPr>
          <w:rFonts w:hint="eastAsia"/>
          <w:sz w:val="24"/>
          <w:szCs w:val="24"/>
        </w:rPr>
        <w:t>备注：公司给代理商2周时间进行市场调研，结束后正式确认目标医院，签订代理协议，公司给代理商授权，开发周期从协议签署计。</w:t>
      </w:r>
    </w:p>
    <w:p w14:paraId="7803AF28">
      <w:pPr>
        <w:tabs>
          <w:tab w:val="left" w:pos="2355"/>
        </w:tabs>
        <w:ind w:firstLine="420"/>
        <w:rPr>
          <w:sz w:val="24"/>
          <w:szCs w:val="24"/>
        </w:rPr>
      </w:pPr>
      <w:r>
        <w:rPr>
          <w:rFonts w:hint="eastAsia"/>
          <w:sz w:val="24"/>
          <w:szCs w:val="24"/>
        </w:rPr>
        <w:t>三、</w:t>
      </w:r>
      <w:r>
        <w:rPr>
          <w:sz w:val="24"/>
          <w:szCs w:val="24"/>
        </w:rPr>
        <w:t xml:space="preserve"> </w:t>
      </w:r>
      <w:r>
        <w:rPr>
          <w:rFonts w:hint="eastAsia"/>
          <w:sz w:val="24"/>
          <w:szCs w:val="24"/>
        </w:rPr>
        <w:t>上量奖励</w:t>
      </w:r>
    </w:p>
    <w:p w14:paraId="3DA410AD">
      <w:pPr>
        <w:pStyle w:val="6"/>
        <w:ind w:left="780" w:firstLine="0" w:firstLineChars="0"/>
        <w:rPr>
          <w:sz w:val="24"/>
          <w:szCs w:val="24"/>
        </w:rPr>
      </w:pPr>
      <w:r>
        <w:rPr>
          <w:rFonts w:hint="eastAsia"/>
          <w:sz w:val="24"/>
          <w:szCs w:val="24"/>
        </w:rPr>
        <w:t>为鼓励上量工作，特制订如下奖励（期限为成功进院后</w:t>
      </w:r>
      <w:r>
        <w:rPr>
          <w:sz w:val="24"/>
          <w:szCs w:val="24"/>
        </w:rPr>
        <w:t>6</w:t>
      </w:r>
      <w:r>
        <w:rPr>
          <w:rFonts w:hint="eastAsia"/>
          <w:sz w:val="24"/>
          <w:szCs w:val="24"/>
        </w:rPr>
        <w:t>个月，超出时间则不再给予奖励）</w:t>
      </w:r>
    </w:p>
    <w:p w14:paraId="201FA4F6">
      <w:pPr>
        <w:pStyle w:val="6"/>
        <w:numPr>
          <w:ilvl w:val="0"/>
          <w:numId w:val="4"/>
        </w:numPr>
        <w:ind w:firstLineChars="0"/>
        <w:rPr>
          <w:sz w:val="24"/>
          <w:szCs w:val="24"/>
        </w:rPr>
      </w:pPr>
      <w:r>
        <w:rPr>
          <w:rFonts w:hint="eastAsia"/>
          <w:sz w:val="24"/>
          <w:szCs w:val="24"/>
        </w:rPr>
        <w:t>累计销售</w:t>
      </w:r>
      <w:r>
        <w:rPr>
          <w:sz w:val="24"/>
          <w:szCs w:val="24"/>
        </w:rPr>
        <w:t>1000</w:t>
      </w:r>
      <w:r>
        <w:rPr>
          <w:rFonts w:hint="eastAsia"/>
          <w:sz w:val="24"/>
          <w:szCs w:val="24"/>
        </w:rPr>
        <w:t>人份，奖励1</w:t>
      </w:r>
      <w:r>
        <w:rPr>
          <w:sz w:val="24"/>
          <w:szCs w:val="24"/>
        </w:rPr>
        <w:t>W</w:t>
      </w:r>
    </w:p>
    <w:p w14:paraId="07141D83">
      <w:pPr>
        <w:pStyle w:val="6"/>
        <w:numPr>
          <w:ilvl w:val="0"/>
          <w:numId w:val="4"/>
        </w:numPr>
        <w:ind w:firstLineChars="0"/>
        <w:rPr>
          <w:sz w:val="24"/>
          <w:szCs w:val="24"/>
        </w:rPr>
      </w:pPr>
      <w:r>
        <w:rPr>
          <w:rFonts w:hint="eastAsia"/>
          <w:sz w:val="24"/>
          <w:szCs w:val="24"/>
        </w:rPr>
        <w:t>累计销量1</w:t>
      </w:r>
      <w:r>
        <w:rPr>
          <w:sz w:val="24"/>
          <w:szCs w:val="24"/>
        </w:rPr>
        <w:t>500</w:t>
      </w:r>
      <w:r>
        <w:rPr>
          <w:rFonts w:hint="eastAsia"/>
          <w:sz w:val="24"/>
          <w:szCs w:val="24"/>
        </w:rPr>
        <w:t>人份）奖励2</w:t>
      </w:r>
      <w:r>
        <w:rPr>
          <w:sz w:val="24"/>
          <w:szCs w:val="24"/>
        </w:rPr>
        <w:t xml:space="preserve">W </w:t>
      </w:r>
    </w:p>
    <w:p w14:paraId="5B31B684">
      <w:pPr>
        <w:pStyle w:val="6"/>
        <w:numPr>
          <w:ilvl w:val="0"/>
          <w:numId w:val="4"/>
        </w:numPr>
        <w:ind w:firstLineChars="0"/>
        <w:rPr>
          <w:sz w:val="24"/>
          <w:szCs w:val="24"/>
        </w:rPr>
      </w:pPr>
      <w:r>
        <w:rPr>
          <w:rFonts w:hint="eastAsia"/>
          <w:sz w:val="24"/>
          <w:szCs w:val="24"/>
        </w:rPr>
        <w:t>累计销售</w:t>
      </w:r>
      <w:r>
        <w:rPr>
          <w:sz w:val="24"/>
          <w:szCs w:val="24"/>
        </w:rPr>
        <w:t>2000</w:t>
      </w:r>
      <w:r>
        <w:rPr>
          <w:rFonts w:hint="eastAsia"/>
          <w:sz w:val="24"/>
          <w:szCs w:val="24"/>
        </w:rPr>
        <w:t xml:space="preserve">人份 </w:t>
      </w:r>
      <w:r>
        <w:rPr>
          <w:sz w:val="24"/>
          <w:szCs w:val="24"/>
        </w:rPr>
        <w:t xml:space="preserve"> </w:t>
      </w:r>
      <w:r>
        <w:rPr>
          <w:rFonts w:hint="eastAsia"/>
          <w:sz w:val="24"/>
          <w:szCs w:val="24"/>
        </w:rPr>
        <w:t>奖励</w:t>
      </w:r>
      <w:r>
        <w:rPr>
          <w:sz w:val="24"/>
          <w:szCs w:val="24"/>
        </w:rPr>
        <w:t>4W</w:t>
      </w:r>
    </w:p>
    <w:p w14:paraId="1DE247BD">
      <w:pPr>
        <w:tabs>
          <w:tab w:val="left" w:pos="2355"/>
        </w:tabs>
        <w:ind w:firstLine="420"/>
        <w:rPr>
          <w:sz w:val="24"/>
          <w:szCs w:val="24"/>
        </w:rPr>
      </w:pPr>
      <w:r>
        <w:rPr>
          <w:rFonts w:hint="eastAsia"/>
          <w:sz w:val="24"/>
          <w:szCs w:val="24"/>
        </w:rPr>
        <w:t>备注：销量按医院计算，如本医院有分院或分院区，则按总体销量计算</w:t>
      </w:r>
    </w:p>
    <w:p w14:paraId="3DC93B43">
      <w:pPr>
        <w:tabs>
          <w:tab w:val="left" w:pos="2355"/>
        </w:tabs>
        <w:rPr>
          <w:sz w:val="24"/>
          <w:szCs w:val="24"/>
        </w:rPr>
      </w:pPr>
      <w:r>
        <w:rPr>
          <w:rFonts w:hint="eastAsia"/>
          <w:sz w:val="24"/>
          <w:szCs w:val="24"/>
        </w:rPr>
        <w:t>四、开发奖励</w:t>
      </w:r>
    </w:p>
    <w:p w14:paraId="254A59DD">
      <w:pPr>
        <w:tabs>
          <w:tab w:val="left" w:pos="2355"/>
        </w:tabs>
        <w:rPr>
          <w:sz w:val="24"/>
          <w:szCs w:val="24"/>
        </w:rPr>
      </w:pPr>
      <w:r>
        <w:rPr>
          <w:rFonts w:hint="eastAsia"/>
          <w:sz w:val="24"/>
          <w:szCs w:val="24"/>
        </w:rPr>
        <w:t>为奖励代理商开发医院特制订如下开发奖励</w:t>
      </w:r>
    </w:p>
    <w:p w14:paraId="79FFFD70">
      <w:pPr>
        <w:tabs>
          <w:tab w:val="left" w:pos="2355"/>
        </w:tabs>
        <w:rPr>
          <w:sz w:val="24"/>
          <w:szCs w:val="24"/>
        </w:rPr>
      </w:pPr>
      <w:r>
        <w:rPr>
          <w:rFonts w:hint="eastAsia"/>
          <w:sz w:val="24"/>
          <w:szCs w:val="24"/>
        </w:rPr>
        <w:t>成功开发医院后，如渠道由代理商独自完成，则公司让利协同服务费</w:t>
      </w:r>
      <w:r>
        <w:rPr>
          <w:rFonts w:hint="eastAsia"/>
          <w:sz w:val="24"/>
          <w:szCs w:val="24"/>
          <w:u w:val="single"/>
        </w:rPr>
        <w:t xml:space="preserve"> </w:t>
      </w:r>
      <w:r>
        <w:rPr>
          <w:sz w:val="24"/>
          <w:szCs w:val="24"/>
          <w:u w:val="single"/>
        </w:rPr>
        <w:t xml:space="preserve">  </w:t>
      </w:r>
      <w:r>
        <w:rPr>
          <w:rFonts w:hint="eastAsia"/>
          <w:sz w:val="24"/>
          <w:szCs w:val="24"/>
          <w:u w:val="single"/>
        </w:rPr>
        <w:t>1</w:t>
      </w:r>
      <w:r>
        <w:rPr>
          <w:sz w:val="24"/>
          <w:szCs w:val="24"/>
          <w:u w:val="single"/>
        </w:rPr>
        <w:t xml:space="preserve">5%  </w:t>
      </w:r>
      <w:r>
        <w:rPr>
          <w:rFonts w:hint="eastAsia"/>
          <w:sz w:val="24"/>
          <w:szCs w:val="24"/>
        </w:rPr>
        <w:t>，作为对该代理商的奖励。</w:t>
      </w:r>
    </w:p>
    <w:p w14:paraId="72B35A6A">
      <w:pPr>
        <w:tabs>
          <w:tab w:val="left" w:pos="2355"/>
        </w:tabs>
        <w:rPr>
          <w:sz w:val="24"/>
          <w:szCs w:val="24"/>
        </w:rPr>
      </w:pPr>
      <w:r>
        <w:rPr>
          <w:rFonts w:hint="eastAsia"/>
          <w:sz w:val="24"/>
          <w:szCs w:val="24"/>
        </w:rPr>
        <w:t>如渠道由公司协助完成，则按原底价结算。</w:t>
      </w:r>
    </w:p>
    <w:p w14:paraId="6FA33967">
      <w:pPr>
        <w:tabs>
          <w:tab w:val="left" w:pos="2355"/>
        </w:tabs>
        <w:rPr>
          <w:b/>
          <w:bCs/>
          <w:sz w:val="24"/>
          <w:szCs w:val="24"/>
        </w:rPr>
      </w:pPr>
      <w:r>
        <w:rPr>
          <w:rFonts w:hint="eastAsia"/>
          <w:b/>
          <w:bCs/>
          <w:sz w:val="24"/>
          <w:szCs w:val="24"/>
        </w:rPr>
        <w:t>五．公司支持</w:t>
      </w:r>
    </w:p>
    <w:p w14:paraId="009E48DA">
      <w:pPr>
        <w:pStyle w:val="6"/>
        <w:numPr>
          <w:ilvl w:val="0"/>
          <w:numId w:val="5"/>
        </w:numPr>
        <w:ind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公司提供代理商所需资质证明，产品宣传单页等资料。</w:t>
      </w:r>
    </w:p>
    <w:p w14:paraId="20035BCE">
      <w:pPr>
        <w:pStyle w:val="6"/>
        <w:numPr>
          <w:ilvl w:val="0"/>
          <w:numId w:val="5"/>
        </w:numPr>
        <w:ind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代理商如有产品学术问题，或是产品推介，公司可派专业学术人员协助。</w:t>
      </w:r>
    </w:p>
    <w:p w14:paraId="58A16739">
      <w:pPr>
        <w:pStyle w:val="6"/>
        <w:ind w:left="42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3. </w:t>
      </w:r>
      <w:r>
        <w:rPr>
          <w:rFonts w:hint="eastAsia"/>
          <w:color w:val="000000" w:themeColor="text1"/>
          <w:sz w:val="24"/>
          <w:szCs w:val="24"/>
          <w14:textFill>
            <w14:solidFill>
              <w14:schemeClr w14:val="tx1"/>
            </w14:solidFill>
          </w14:textFill>
        </w:rPr>
        <w:t>地区级会议须报公司申请，如必要则和代理商共同承担，原则上按三七分担(代理商承担</w:t>
      </w:r>
      <w:r>
        <w:rPr>
          <w:color w:val="000000" w:themeColor="text1"/>
          <w:sz w:val="24"/>
          <w:szCs w:val="24"/>
          <w14:textFill>
            <w14:solidFill>
              <w14:schemeClr w14:val="tx1"/>
            </w14:solidFill>
          </w14:textFill>
        </w:rPr>
        <w:t>70%</w:t>
      </w:r>
      <w:r>
        <w:rPr>
          <w:rFonts w:hint="eastAsia"/>
          <w:color w:val="000000" w:themeColor="text1"/>
          <w:sz w:val="24"/>
          <w:szCs w:val="24"/>
          <w14:textFill>
            <w14:solidFill>
              <w14:schemeClr w14:val="tx1"/>
            </w14:solidFill>
          </w14:textFill>
        </w:rPr>
        <w:t>，公司承担3</w:t>
      </w:r>
      <w:r>
        <w:rPr>
          <w:color w:val="000000" w:themeColor="text1"/>
          <w:sz w:val="24"/>
          <w:szCs w:val="24"/>
          <w14:textFill>
            <w14:solidFill>
              <w14:schemeClr w14:val="tx1"/>
            </w14:solidFill>
          </w14:textFill>
        </w:rPr>
        <w:t>0%</w:t>
      </w:r>
      <w:r>
        <w:rPr>
          <w:rFonts w:hint="eastAsia"/>
          <w:color w:val="000000" w:themeColor="text1"/>
          <w:sz w:val="24"/>
          <w:szCs w:val="24"/>
          <w14:textFill>
            <w14:solidFill>
              <w14:schemeClr w14:val="tx1"/>
            </w14:solidFill>
          </w14:textFill>
        </w:rPr>
        <w:t>)，具体比例按会议级别与专家影响力情况协商制定。</w:t>
      </w:r>
    </w:p>
    <w:p w14:paraId="75461A60">
      <w:pPr>
        <w:pStyle w:val="6"/>
        <w:ind w:left="42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4. </w:t>
      </w:r>
      <w:r>
        <w:rPr>
          <w:rFonts w:hint="eastAsia"/>
          <w:color w:val="000000" w:themeColor="text1"/>
          <w:sz w:val="24"/>
          <w:szCs w:val="24"/>
          <w14:textFill>
            <w14:solidFill>
              <w14:schemeClr w14:val="tx1"/>
            </w14:solidFill>
          </w14:textFill>
        </w:rPr>
        <w:t>公司协助代理商待开发医院去标杆医院参观交流，沟通协调标杆医院事项由公司承担，待开发医院相关人员去参观产生的交通等具体费用由代理商自行负责。</w:t>
      </w:r>
    </w:p>
    <w:p w14:paraId="2B89BE20">
      <w:pPr>
        <w:pStyle w:val="6"/>
        <w:ind w:left="420" w:firstLine="0"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t>.</w:t>
      </w:r>
      <w:r>
        <w:rPr>
          <w:rFonts w:hint="eastAsia"/>
          <w:color w:val="000000" w:themeColor="text1"/>
          <w:sz w:val="24"/>
          <w:szCs w:val="24"/>
          <w14:textFill>
            <w14:solidFill>
              <w14:schemeClr w14:val="tx1"/>
            </w14:solidFill>
          </w14:textFill>
        </w:rPr>
        <w:t>管理系统初次安装调试由公司提供专业工程师协助，居家项目类所涉器械及耗材操作使用公司提供演示视频，如有必要可申请公司派人指导演示使用。</w:t>
      </w:r>
    </w:p>
    <w:p w14:paraId="72A226FB">
      <w:pPr>
        <w:tabs>
          <w:tab w:val="left" w:pos="2355"/>
        </w:tabs>
      </w:pPr>
    </w:p>
    <w:p w14:paraId="73E8FD9C">
      <w:pPr>
        <w:tabs>
          <w:tab w:val="left" w:pos="2355"/>
        </w:tabs>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10312">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3A3626">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53A3626">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2504E">
    <w:pPr>
      <w:pStyle w:val="3"/>
      <w:jc w:val="right"/>
    </w:pPr>
    <w:r>
      <w:rPr>
        <w:rFonts w:hint="eastAsia"/>
      </w:rPr>
      <w:drawing>
        <wp:inline distT="0" distB="0" distL="114300" distR="114300">
          <wp:extent cx="936625" cy="391160"/>
          <wp:effectExtent l="0" t="0" r="15875" b="8890"/>
          <wp:docPr id="2" name="图片 2" descr="图片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c9faf4d-1e29-48b1-aad7-adbccbfdc780}"/>
                </s:tag>
              </a:ext>
            </a:extLst>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
                  <a:stretch>
                    <a:fillRect/>
                  </a:stretch>
                </pic:blipFill>
                <pic:spPr>
                  <a:xfrm>
                    <a:off x="0" y="0"/>
                    <a:ext cx="936625" cy="3911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95E43"/>
    <w:multiLevelType w:val="multilevel"/>
    <w:tmpl w:val="04B95E43"/>
    <w:lvl w:ilvl="0" w:tentative="0">
      <w:start w:val="1"/>
      <w:numFmt w:val="lowerLetter"/>
      <w:lvlText w:val="%1."/>
      <w:lvlJc w:val="left"/>
      <w:pPr>
        <w:ind w:left="1380" w:hanging="360"/>
      </w:pPr>
      <w:rPr>
        <w:rFonts w:hint="default"/>
      </w:rPr>
    </w:lvl>
    <w:lvl w:ilvl="1" w:tentative="0">
      <w:start w:val="1"/>
      <w:numFmt w:val="lowerLetter"/>
      <w:lvlText w:val="%2)"/>
      <w:lvlJc w:val="left"/>
      <w:pPr>
        <w:ind w:left="1860" w:hanging="420"/>
      </w:pPr>
    </w:lvl>
    <w:lvl w:ilvl="2" w:tentative="0">
      <w:start w:val="1"/>
      <w:numFmt w:val="lowerRoman"/>
      <w:lvlText w:val="%3."/>
      <w:lvlJc w:val="right"/>
      <w:pPr>
        <w:ind w:left="2280" w:hanging="420"/>
      </w:pPr>
    </w:lvl>
    <w:lvl w:ilvl="3" w:tentative="0">
      <w:start w:val="1"/>
      <w:numFmt w:val="decimal"/>
      <w:lvlText w:val="%4."/>
      <w:lvlJc w:val="left"/>
      <w:pPr>
        <w:ind w:left="2700" w:hanging="420"/>
      </w:pPr>
    </w:lvl>
    <w:lvl w:ilvl="4" w:tentative="0">
      <w:start w:val="1"/>
      <w:numFmt w:val="lowerLetter"/>
      <w:lvlText w:val="%5)"/>
      <w:lvlJc w:val="left"/>
      <w:pPr>
        <w:ind w:left="3120" w:hanging="420"/>
      </w:pPr>
    </w:lvl>
    <w:lvl w:ilvl="5" w:tentative="0">
      <w:start w:val="1"/>
      <w:numFmt w:val="lowerRoman"/>
      <w:lvlText w:val="%6."/>
      <w:lvlJc w:val="right"/>
      <w:pPr>
        <w:ind w:left="3540" w:hanging="420"/>
      </w:pPr>
    </w:lvl>
    <w:lvl w:ilvl="6" w:tentative="0">
      <w:start w:val="1"/>
      <w:numFmt w:val="decimal"/>
      <w:lvlText w:val="%7."/>
      <w:lvlJc w:val="left"/>
      <w:pPr>
        <w:ind w:left="3960" w:hanging="420"/>
      </w:pPr>
    </w:lvl>
    <w:lvl w:ilvl="7" w:tentative="0">
      <w:start w:val="1"/>
      <w:numFmt w:val="lowerLetter"/>
      <w:lvlText w:val="%8)"/>
      <w:lvlJc w:val="left"/>
      <w:pPr>
        <w:ind w:left="4380" w:hanging="420"/>
      </w:pPr>
    </w:lvl>
    <w:lvl w:ilvl="8" w:tentative="0">
      <w:start w:val="1"/>
      <w:numFmt w:val="lowerRoman"/>
      <w:lvlText w:val="%9."/>
      <w:lvlJc w:val="right"/>
      <w:pPr>
        <w:ind w:left="4800" w:hanging="420"/>
      </w:pPr>
    </w:lvl>
  </w:abstractNum>
  <w:abstractNum w:abstractNumId="1">
    <w:nsid w:val="3A8A0D73"/>
    <w:multiLevelType w:val="multilevel"/>
    <w:tmpl w:val="3A8A0D7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441D54F4"/>
    <w:multiLevelType w:val="multilevel"/>
    <w:tmpl w:val="441D54F4"/>
    <w:lvl w:ilvl="0" w:tentative="0">
      <w:start w:val="1"/>
      <w:numFmt w:val="upperLetter"/>
      <w:lvlText w:val="%1．"/>
      <w:lvlJc w:val="left"/>
      <w:pPr>
        <w:ind w:left="1140" w:hanging="360"/>
      </w:pPr>
      <w:rPr>
        <w:rFonts w:hint="default" w:asciiTheme="minorHAnsi" w:hAnsiTheme="minorHAnsi"/>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3">
    <w:nsid w:val="4F762388"/>
    <w:multiLevelType w:val="multilevel"/>
    <w:tmpl w:val="4F762388"/>
    <w:lvl w:ilvl="0" w:tentative="0">
      <w:start w:val="1"/>
      <w:numFmt w:val="japaneseCounting"/>
      <w:lvlText w:val="%1、"/>
      <w:lvlJc w:val="left"/>
      <w:pPr>
        <w:ind w:left="1050" w:hanging="720"/>
      </w:pPr>
      <w:rPr>
        <w:rFonts w:hint="default"/>
      </w:rPr>
    </w:lvl>
    <w:lvl w:ilvl="1" w:tentative="0">
      <w:start w:val="1"/>
      <w:numFmt w:val="lowerLetter"/>
      <w:lvlText w:val="%2)"/>
      <w:lvlJc w:val="left"/>
      <w:pPr>
        <w:ind w:left="1170" w:hanging="420"/>
      </w:pPr>
    </w:lvl>
    <w:lvl w:ilvl="2" w:tentative="0">
      <w:start w:val="1"/>
      <w:numFmt w:val="lowerRoman"/>
      <w:lvlText w:val="%3."/>
      <w:lvlJc w:val="right"/>
      <w:pPr>
        <w:ind w:left="1590" w:hanging="420"/>
      </w:pPr>
    </w:lvl>
    <w:lvl w:ilvl="3" w:tentative="0">
      <w:start w:val="1"/>
      <w:numFmt w:val="decimal"/>
      <w:lvlText w:val="%4."/>
      <w:lvlJc w:val="left"/>
      <w:pPr>
        <w:ind w:left="2010" w:hanging="420"/>
      </w:pPr>
    </w:lvl>
    <w:lvl w:ilvl="4" w:tentative="0">
      <w:start w:val="1"/>
      <w:numFmt w:val="lowerLetter"/>
      <w:lvlText w:val="%5)"/>
      <w:lvlJc w:val="left"/>
      <w:pPr>
        <w:ind w:left="2430" w:hanging="420"/>
      </w:pPr>
    </w:lvl>
    <w:lvl w:ilvl="5" w:tentative="0">
      <w:start w:val="1"/>
      <w:numFmt w:val="lowerRoman"/>
      <w:lvlText w:val="%6."/>
      <w:lvlJc w:val="right"/>
      <w:pPr>
        <w:ind w:left="2850" w:hanging="420"/>
      </w:pPr>
    </w:lvl>
    <w:lvl w:ilvl="6" w:tentative="0">
      <w:start w:val="1"/>
      <w:numFmt w:val="decimal"/>
      <w:lvlText w:val="%7."/>
      <w:lvlJc w:val="left"/>
      <w:pPr>
        <w:ind w:left="3270" w:hanging="420"/>
      </w:pPr>
    </w:lvl>
    <w:lvl w:ilvl="7" w:tentative="0">
      <w:start w:val="1"/>
      <w:numFmt w:val="lowerLetter"/>
      <w:lvlText w:val="%8)"/>
      <w:lvlJc w:val="left"/>
      <w:pPr>
        <w:ind w:left="3690" w:hanging="420"/>
      </w:pPr>
    </w:lvl>
    <w:lvl w:ilvl="8" w:tentative="0">
      <w:start w:val="1"/>
      <w:numFmt w:val="lowerRoman"/>
      <w:lvlText w:val="%9."/>
      <w:lvlJc w:val="right"/>
      <w:pPr>
        <w:ind w:left="4110" w:hanging="420"/>
      </w:pPr>
    </w:lvl>
  </w:abstractNum>
  <w:abstractNum w:abstractNumId="4">
    <w:nsid w:val="5D2B0C54"/>
    <w:multiLevelType w:val="multilevel"/>
    <w:tmpl w:val="5D2B0C54"/>
    <w:lvl w:ilvl="0" w:tentative="0">
      <w:start w:val="2"/>
      <w:numFmt w:val="japaneseCounting"/>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F8"/>
    <w:rsid w:val="00062E63"/>
    <w:rsid w:val="00072C8C"/>
    <w:rsid w:val="00170250"/>
    <w:rsid w:val="00181ECB"/>
    <w:rsid w:val="0022486F"/>
    <w:rsid w:val="00285A1C"/>
    <w:rsid w:val="002F20E4"/>
    <w:rsid w:val="00313BC1"/>
    <w:rsid w:val="004E009A"/>
    <w:rsid w:val="004E711E"/>
    <w:rsid w:val="00561EF8"/>
    <w:rsid w:val="00653D6B"/>
    <w:rsid w:val="00664620"/>
    <w:rsid w:val="006D453A"/>
    <w:rsid w:val="007378DE"/>
    <w:rsid w:val="00812693"/>
    <w:rsid w:val="0083703E"/>
    <w:rsid w:val="008D5557"/>
    <w:rsid w:val="00927B4E"/>
    <w:rsid w:val="009D0A86"/>
    <w:rsid w:val="00A1096D"/>
    <w:rsid w:val="00A34321"/>
    <w:rsid w:val="00A937C4"/>
    <w:rsid w:val="00B51EE5"/>
    <w:rsid w:val="00B86FC2"/>
    <w:rsid w:val="00BC0063"/>
    <w:rsid w:val="00BE6B88"/>
    <w:rsid w:val="00C2025E"/>
    <w:rsid w:val="00C4192D"/>
    <w:rsid w:val="00CF1900"/>
    <w:rsid w:val="00D72760"/>
    <w:rsid w:val="00E3678A"/>
    <w:rsid w:val="00E72DBE"/>
    <w:rsid w:val="00F357EC"/>
    <w:rsid w:val="00FB0A13"/>
    <w:rsid w:val="25946C8F"/>
    <w:rsid w:val="26982464"/>
    <w:rsid w:val="35833459"/>
    <w:rsid w:val="55A31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726</Words>
  <Characters>754</Characters>
  <Lines>5</Lines>
  <Paragraphs>1</Paragraphs>
  <TotalTime>29</TotalTime>
  <ScaleCrop>false</ScaleCrop>
  <LinksUpToDate>false</LinksUpToDate>
  <CharactersWithSpaces>802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2025-09-29T07:16:00Z</dcterms:created>
  <dc:creator>user</dc:creator>
  <cp:lastModifiedBy>Jiujiu-cl</cp:lastModifiedBy>
  <dcterms:modified xsi:type="dcterms:W3CDTF">2025-12-05T03:53:21Z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eyJoZGlkIjoiYTM5MTZmNjAyZjEyMzU3OGQ1MDEyNzM2NjEwYTgwOTkiLCJ1c2VySWQiOiIzMDI5Njc5NzYifQ==</vt:lpwstr>
  </property>
  <property fmtid="{D5CDD505-2E9C-101B-9397-08002B2CF9AE}" pid="3" name="KSOProductBuildVer">
    <vt:lpwstr>2052-12.1.0.19302</vt:lpwstr>
  </property>
  <property fmtid="{D5CDD505-2E9C-101B-9397-08002B2CF9AE}" pid="4" name="ICV">
    <vt:lpwstr>E7326BD0A6FB4E54857A4EFFCD2F84CB_12</vt:lpwstr>
  </property>
</Properties>
</file>