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  <w:r>
        <w:t xml:space="preserve"> </w:t>
      </w: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  <w:r>
        <w:t xml:space="preserve"> </w:t>
      </w:r>
      <w:r>
        <w:rPr>
          <w:bCs/>
          <w:b/>
        </w:rPr>
        <w:t xml:space="preserve">版本：</w:t>
      </w:r>
      <w:r>
        <w:t xml:space="preserve"> </w:t>
      </w:r>
      <w:r>
        <w:t xml:space="preserve">V1.0 完整版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四、资金流转模式设计（核心创新）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当前基层医疗卫生机构每年承担大量慢病筛查任务，但普遍存在一个断层：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筛查做了</w:t>
      </w:r>
      <w:r>
        <w:t xml:space="preserve">：盆底功能筛查、心血管风险评估、认知功能初筛等年年做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结果出了</w:t>
      </w:r>
      <w:r>
        <w:t xml:space="preserve">：阳性患者拿到了报告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后续断了</w:t>
      </w:r>
      <w:r>
        <w:t xml:space="preserve">：缺乏干预和管理闭环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核心问题</w:t>
      </w:r>
      <w:r>
        <w:t xml:space="preserve">：筛查结果出来后，没人管了</w:t>
      </w:r>
    </w:p>
    <w:p>
      <w:pPr>
        <w:numPr>
          <w:ilvl w:val="0"/>
          <w:numId w:val="1001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1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1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缺最后一公里"/>
    <w:p>
      <w:pPr>
        <w:pStyle w:val="Heading3"/>
      </w:pPr>
      <w:r>
        <w:t xml:space="preserve">1.4 缺”最后一公里”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：</w:t>
      </w:r>
      <w:r>
        <w:t xml:space="preserve"> </w:t>
      </w:r>
      <w:r>
        <w:t xml:space="preserve">- 居家康复 ≠</w:t>
      </w:r>
      <w:r>
        <w:t xml:space="preserve"> </w:t>
      </w:r>
      <w:r>
        <w:t xml:space="preserve">“</w:t>
      </w:r>
      <w:r>
        <w:t xml:space="preserve">出院后自己注意</w:t>
      </w:r>
      <w:r>
        <w:t xml:space="preserve">”</w:t>
      </w:r>
      <w:r>
        <w:t xml:space="preserve"> </w:t>
      </w:r>
      <w:r>
        <w:t xml:space="preserve">- 应该是有专业管理、有数据跟踪、有人负责的服务体系</w:t>
      </w:r>
      <w:r>
        <w:t xml:space="preserve"> </w:t>
      </w:r>
      <w:r>
        <w:t xml:space="preserve">- 但目前没有人做这件事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患者带回家，按训练方案进行居家康复治疗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3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3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3"/>
        </w:numPr>
        <w:pStyle w:val="Compact"/>
      </w:pPr>
      <w:r>
        <w:t xml:space="preserve">护士解答日常疑问</w:t>
      </w:r>
    </w:p>
    <w:p>
      <w:pPr>
        <w:numPr>
          <w:ilvl w:val="1"/>
          <w:numId w:val="1003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3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3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4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（远程心电监护 + 运动处方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循环使用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心脏康复医师出具运动处方（频率、强度、时间、类型）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6"/>
        </w:numPr>
        <w:pStyle w:val="Compact"/>
      </w:pPr>
      <w:r>
        <w:t xml:space="preserve">心脏康复治疗师在线调整运动处方</w:t>
      </w:r>
    </w:p>
    <w:p>
      <w:pPr>
        <w:numPr>
          <w:ilvl w:val="1"/>
          <w:numId w:val="1006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6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6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6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心理/认知方向的核心模式</w:t>
      </w:r>
      <w:r>
        <w:t xml:space="preserve">：评估+居家闭环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评估</w:t>
      </w:r>
      <w:r>
        <w:t xml:space="preserve">：第三方提供数字化量表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居家康复</w:t>
      </w:r>
      <w:r>
        <w:t xml:space="preserve">：数字疗法 + 六师共管，由圆爱康完成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院内治疗</w:t>
      </w:r>
      <w:r>
        <w:t xml:space="preserve">：经颅电刺激等，由医院自行配置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8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8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8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9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09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09"/>
        </w:numPr>
        <w:pStyle w:val="Compact"/>
      </w:pPr>
      <w:r>
        <w:t xml:space="preserve">家人/照顾者支持指导</w:t>
      </w:r>
    </w:p>
    <w:p>
      <w:pPr>
        <w:numPr>
          <w:ilvl w:val="1"/>
          <w:numId w:val="1009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四卫健局的资金投入与结算模式"/>
    <w:p>
      <w:pPr>
        <w:pStyle w:val="Heading2"/>
      </w:pPr>
      <w:r>
        <w:t xml:space="preserve">四、卫健局的资金投入与结算模式</w:t>
      </w:r>
    </w:p>
    <w:p>
      <w:pPr>
        <w:pStyle w:val="FirstParagraph"/>
      </w:pPr>
      <w:r>
        <w:t xml:space="preserve">本方案的核心优势在于：</w:t>
      </w:r>
      <w:r>
        <w:rPr>
          <w:bCs/>
          <w:b/>
        </w:rPr>
        <w:t xml:space="preserve">卫健局按效果付费，钱花得明白、管得轻松。</w:t>
      </w:r>
    </w:p>
    <w:bookmarkStart w:id="49" w:name="卫健局的资金投入方式"/>
    <w:p>
      <w:pPr>
        <w:pStyle w:val="Heading3"/>
      </w:pPr>
      <w:r>
        <w:t xml:space="preserve">4.1 卫健局的资金投入方式</w:t>
      </w:r>
    </w:p>
    <w:p>
      <w:pPr>
        <w:pStyle w:val="FirstParagraph"/>
      </w:pPr>
      <w:r>
        <w:t xml:space="preserve">卫健局作为项目主导方，有三种投入方式可选：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投入方式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按服务例数结算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卫健局按实际完成的筛查例数+康复例数，定期向服务方支付服务费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试点启动，零设备投入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设备采购+服务费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卫健局一次性采购核心评估设备（归卫健局/医院资产），康复服务费按例结算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有设备预算，想提升院内能力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全包干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卫健局按年度/周期向服务方打包采购全部服务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预算充足，想省心管理</w:t>
            </w:r>
          </w:p>
        </w:tc>
      </w:tr>
    </w:tbl>
    <w:bookmarkEnd w:id="49"/>
    <w:bookmarkStart w:id="50" w:name="卫健局的资金流向设计"/>
    <w:p>
      <w:pPr>
        <w:pStyle w:val="Heading3"/>
      </w:pPr>
      <w:r>
        <w:t xml:space="preserve">4.2 卫健局的资金流向设计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卫健局监管账户      │ ← 卫健局指定，资金流向全程可查</w:t>
      </w:r>
      <w:r>
        <w:br/>
      </w:r>
      <w:r>
        <w:rPr>
          <w:rStyle w:val="VerbatimChar"/>
        </w:rPr>
        <w:t xml:space="preserve">│  （统一收付平台）     │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┌──────┴──────┐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服务提供方      医院/社区</w:t>
      </w:r>
      <w:r>
        <w:br/>
      </w:r>
      <w:r>
        <w:rPr>
          <w:rStyle w:val="VerbatimChar"/>
        </w:rPr>
        <w:t xml:space="preserve">（圆爱康）      （机构管理费）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居家康复服务执行</w:t>
      </w:r>
      <w:r>
        <w:br/>
      </w:r>
      <w:r>
        <w:rPr>
          <w:rStyle w:val="VerbatimChar"/>
        </w:rPr>
        <w:t xml:space="preserve">（设备+六师共管+数据）</w:t>
      </w:r>
    </w:p>
    <w:p>
      <w:pPr>
        <w:pStyle w:val="FirstParagraph"/>
      </w:pPr>
      <w:r>
        <w:rPr>
          <w:bCs/>
          <w:b/>
        </w:rPr>
        <w:t xml:space="preserve">卫健局视角的五大优势：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钱不进医院大账</w:t>
      </w:r>
      <w:r>
        <w:t xml:space="preserve"> </w:t>
      </w:r>
      <w:r>
        <w:t xml:space="preserve">— 服务费通过卫健局监管账户直接结算，避免资金进入基层医院后难以流出的体制问题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按效果付费，不做冤大头</w:t>
      </w:r>
      <w:r>
        <w:t xml:space="preserve"> </w:t>
      </w:r>
      <w:r>
        <w:t xml:space="preserve">— 卫健局只按实际完成的康复例数结算，做一例付一例，不做不付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价格透明可审计</w:t>
      </w:r>
      <w:r>
        <w:t xml:space="preserve"> </w:t>
      </w:r>
      <w:r>
        <w:t xml:space="preserve">— 统一结算标准，全区一个价，卫健局随时可以审计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零运营负担</w:t>
      </w:r>
      <w:r>
        <w:t xml:space="preserve"> </w:t>
      </w:r>
      <w:r>
        <w:t xml:space="preserve">— 卫健局只负责监督考核，不负责日常运营、人员管理、设备维护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每个患者的康复数据、服务记录都在平台上，卫健局可随时查看项目进展</w:t>
      </w:r>
    </w:p>
    <w:bookmarkEnd w:id="50"/>
    <w:bookmarkStart w:id="51" w:name="卫健局的结算与考核标准"/>
    <w:p>
      <w:pPr>
        <w:pStyle w:val="Heading3"/>
      </w:pPr>
      <w:r>
        <w:t xml:space="preserve">4.3 卫健局的结算与考核标准</w:t>
      </w:r>
    </w:p>
    <w:p>
      <w:pPr>
        <w:pStyle w:val="FirstParagraph"/>
      </w:pPr>
      <w:r>
        <w:t xml:space="preserve">卫健局通过以下机制确保服务质量：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卫健局的管控手段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服务准入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服务方需通过卫健局资质审核，备案服务方案和收费标准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过程监督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卫健局可随时调取康复数据平台，查看筛查人数、康复完成率、患者满意度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效果考核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按季度评估：康复完成率≥80%、患者满意度≥90%、再住院率下降等指标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结算条件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达到考核标准后，按例/按周期支付服务费；未达标可扣减或暂停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年度复审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每年重新评估服务方资质，优胜劣汰</w:t>
            </w:r>
          </w:p>
        </w:tc>
      </w:tr>
    </w:tbl>
    <w:bookmarkEnd w:id="51"/>
    <w:bookmarkStart w:id="52" w:name="结算价格参考"/>
    <w:p>
      <w:pPr>
        <w:pStyle w:val="Heading3"/>
      </w:pPr>
      <w:r>
        <w:t xml:space="preserve">4.4 结算价格参考</w:t>
      </w:r>
    </w:p>
    <w:p>
      <w:pPr>
        <w:pStyle w:val="BlockText"/>
      </w:pPr>
      <w:r>
        <w:t xml:space="preserve">以下价格为预估参考，具体根据当地卫健局预算和项目规模商议确定。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社区筛查（含评估报告）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含设备携带+人员+报告解读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含设备使用+六师共管+数据跟踪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年度全包服务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XX万元/年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含筛查+康复+培训+运营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4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4"/>
    <w:bookmarkStart w:id="55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六预期成效量化指标"/>
    <w:p>
      <w:pPr>
        <w:pStyle w:val="Heading2"/>
      </w:pPr>
      <w:r>
        <w:t xml:space="preserve">六、预期成效（量化指标）</w:t>
      </w:r>
    </w:p>
    <w:bookmarkStart w:id="58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58"/>
    <w:bookmarkStart w:id="59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59"/>
    <w:bookmarkStart w:id="60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1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1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1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1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七实施路径"/>
    <w:p>
      <w:pPr>
        <w:pStyle w:val="Heading2"/>
      </w:pPr>
      <w:r>
        <w:t xml:space="preserve">七、实施路径</w:t>
      </w:r>
    </w:p>
    <w:bookmarkStart w:id="62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2"/>
    <w:bookmarkStart w:id="63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3"/>
    <w:bookmarkStart w:id="64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4"/>
    <w:bookmarkStart w:id="65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5"/>
    <w:bookmarkStart w:id="66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八关于圆爱康"/>
    <w:p>
      <w:pPr>
        <w:pStyle w:val="Heading2"/>
      </w:pPr>
      <w:r>
        <w:t xml:space="preserve">八、关于圆爱康</w:t>
      </w:r>
    </w:p>
    <w:bookmarkStart w:id="68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广州圆爱康生物科技有限公司是专注于</w:t>
      </w:r>
      <w:r>
        <w:rPr>
          <w:bCs/>
          <w:b/>
        </w:rPr>
        <w:t xml:space="preserve">居家康复服务</w:t>
      </w:r>
      <w:r>
        <w:t xml:space="preserve">的第三方服务机构：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不派人驻场</w:t>
      </w:r>
      <w:r>
        <w:t xml:space="preserve">——不替代医疗机构职能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培训赋能</w:t>
      </w:r>
      <w:r>
        <w:t xml:space="preserve">——帮助现有医护掌握居家康复理念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六师共管</w:t>
      </w:r>
      <w:r>
        <w:t xml:space="preserve">——远程康复指导团队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数据平台</w:t>
      </w:r>
      <w:r>
        <w:t xml:space="preserve">——患者康复数据全程可追溯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核心定位</w:t>
      </w:r>
      <w:r>
        <w:t xml:space="preserve">：为医院现有的康复项目增加居家通道</w:t>
      </w:r>
    </w:p>
    <w:bookmarkEnd w:id="68"/>
    <w:bookmarkStart w:id="69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69"/>
    <w:bookmarkStart w:id="70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编制单位：广州圆爱康生物科技有限公司</w:t>
      </w:r>
      <w:r>
        <w:t xml:space="preserve"> </w:t>
      </w:r>
      <w:r>
        <w:rPr>
          <w:iCs/>
          <w:i/>
        </w:rPr>
        <w:t xml:space="preserve">2026年5月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2026-06-01T10:20:44Z</dcterms:created>
  <dcterms:modified xsi:type="dcterms:W3CDTF">2026-06-01T10:20:44Z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