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关于生物刺激反馈仪可用于子宫复旧治疗的说明函</w:t>
      </w:r>
    </w:p>
    <w:p>
      <w:r>
        <w:rPr>
          <w:rFonts w:ascii="SimSun" w:hAnsi="SimSun" w:eastAsia="SimSun"/>
          <w:b w:val="0"/>
          <w:sz w:val="22"/>
        </w:rPr>
        <w:t>致： 相关医疗机构及监管部门</w:t>
      </w:r>
    </w:p>
    <w:p>
      <w:r>
        <w:rPr>
          <w:rFonts w:ascii="SimSun" w:hAnsi="SimSun" w:eastAsia="SimSun"/>
          <w:b w:val="0"/>
          <w:sz w:val="22"/>
        </w:rPr>
        <w:t>出具方： 广州圆医生物科技有限公司 / 广州圆爱康生物科技有限公司</w:t>
      </w:r>
    </w:p>
    <w:p>
      <w:r>
        <w:rPr>
          <w:rFonts w:ascii="SimSun" w:hAnsi="SimSun" w:eastAsia="SimSun"/>
          <w:b w:val="0"/>
          <w:sz w:val="22"/>
        </w:rPr>
        <w:t>日期： 2026年7月14日</w:t>
      </w:r>
    </w:p>
    <w:p>
      <w:pPr>
        <w:spacing w:before="120"/>
      </w:pPr>
    </w:p>
    <w:p>
      <w:pPr>
        <w:spacing w:after="120"/>
      </w:pPr>
    </w:p>
    <w:p>
      <w:pPr>
        <w:pStyle w:val="Heading2"/>
      </w:pPr>
      <w:r>
        <w:rPr>
          <w:color w:val="1A477A"/>
        </w:rPr>
        <w:t>一、产品注册信息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产品名称</w:t>
            </w:r>
          </w:p>
        </w:tc>
        <w:tc>
          <w:tcPr>
            <w:tcW w:type="dxa" w:w="4323"/>
          </w:tcPr>
          <w:p>
            <w:r>
              <w:rPr>
                <w:rFonts w:ascii="SimSun" w:hAnsi="SimSun" w:eastAsia="SimSun"/>
                <w:sz w:val="19"/>
              </w:rPr>
              <w:t>生物反馈电刺激治疗仪</w:t>
            </w:r>
          </w:p>
        </w:tc>
      </w:tr>
      <w:tr>
        <w:tc>
          <w:tcPr>
            <w:tcW w:type="dxa" w:w="4323"/>
          </w:tcPr>
          <w:p>
            <w:r>
              <w:rPr>
                <w:rFonts w:ascii="SimSun" w:hAnsi="SimSun" w:eastAsia="SimSun"/>
                <w:sz w:val="19"/>
              </w:rPr>
              <w:t>注册证编号</w:t>
            </w:r>
          </w:p>
        </w:tc>
        <w:tc>
          <w:tcPr>
            <w:tcW w:type="dxa" w:w="4323"/>
          </w:tcPr>
          <w:p>
            <w:r>
              <w:rPr>
                <w:rFonts w:ascii="SimSun" w:hAnsi="SimSun" w:eastAsia="SimSun"/>
                <w:sz w:val="19"/>
              </w:rPr>
              <w:t>粤械注准20222090876</w:t>
            </w:r>
          </w:p>
        </w:tc>
      </w:tr>
      <w:tr>
        <w:tc>
          <w:tcPr>
            <w:tcW w:type="dxa" w:w="4323"/>
          </w:tcPr>
          <w:p>
            <w:r>
              <w:rPr>
                <w:rFonts w:ascii="SimSun" w:hAnsi="SimSun" w:eastAsia="SimSun"/>
                <w:sz w:val="19"/>
              </w:rPr>
              <w:t>注册人名称</w:t>
            </w:r>
          </w:p>
        </w:tc>
        <w:tc>
          <w:tcPr>
            <w:tcW w:type="dxa" w:w="4323"/>
          </w:tcPr>
          <w:p>
            <w:r>
              <w:rPr>
                <w:rFonts w:ascii="SimSun" w:hAnsi="SimSun" w:eastAsia="SimSun"/>
                <w:sz w:val="19"/>
              </w:rPr>
              <w:t>广州圆医生物科技有限公司</w:t>
            </w:r>
          </w:p>
        </w:tc>
      </w:tr>
      <w:tr>
        <w:tc>
          <w:tcPr>
            <w:tcW w:type="dxa" w:w="4323"/>
          </w:tcPr>
          <w:p>
            <w:r>
              <w:rPr>
                <w:rFonts w:ascii="SimSun" w:hAnsi="SimSun" w:eastAsia="SimSun"/>
                <w:sz w:val="19"/>
              </w:rPr>
              <w:t>批准日期</w:t>
            </w:r>
          </w:p>
        </w:tc>
        <w:tc>
          <w:tcPr>
            <w:tcW w:type="dxa" w:w="4323"/>
          </w:tcPr>
          <w:p>
            <w:r>
              <w:rPr>
                <w:rFonts w:ascii="SimSun" w:hAnsi="SimSun" w:eastAsia="SimSun"/>
                <w:sz w:val="19"/>
              </w:rPr>
              <w:t>2022年7月6日</w:t>
            </w:r>
          </w:p>
        </w:tc>
      </w:tr>
      <w:tr>
        <w:tc>
          <w:tcPr>
            <w:tcW w:type="dxa" w:w="4323"/>
          </w:tcPr>
          <w:p>
            <w:r>
              <w:rPr>
                <w:rFonts w:ascii="SimSun" w:hAnsi="SimSun" w:eastAsia="SimSun"/>
                <w:sz w:val="19"/>
              </w:rPr>
              <w:t>有效期至</w:t>
            </w:r>
          </w:p>
        </w:tc>
        <w:tc>
          <w:tcPr>
            <w:tcW w:type="dxa" w:w="4323"/>
          </w:tcPr>
          <w:p>
            <w:r>
              <w:rPr>
                <w:rFonts w:ascii="SimSun" w:hAnsi="SimSun" w:eastAsia="SimSun"/>
                <w:sz w:val="19"/>
              </w:rPr>
              <w:t>2027年7月5日</w:t>
            </w:r>
          </w:p>
        </w:tc>
      </w:tr>
      <w:tr>
        <w:tc>
          <w:tcPr>
            <w:tcW w:type="dxa" w:w="4323"/>
          </w:tcPr>
          <w:p>
            <w:r>
              <w:rPr>
                <w:rFonts w:ascii="SimSun" w:hAnsi="SimSun" w:eastAsia="SimSun"/>
                <w:sz w:val="19"/>
              </w:rPr>
              <w:t>审批部门</w:t>
            </w:r>
          </w:p>
        </w:tc>
        <w:tc>
          <w:tcPr>
            <w:tcW w:type="dxa" w:w="4323"/>
          </w:tcPr>
          <w:p>
            <w:r>
              <w:rPr>
                <w:rFonts w:ascii="SimSun" w:hAnsi="SimSun" w:eastAsia="SimSun"/>
                <w:sz w:val="19"/>
              </w:rPr>
              <w:t>广东省药品监督管理局</w:t>
            </w:r>
          </w:p>
        </w:tc>
      </w:tr>
      <w:tr>
        <w:tc>
          <w:tcPr>
            <w:tcW w:type="dxa" w:w="4323"/>
          </w:tcPr>
          <w:p>
            <w:r>
              <w:rPr>
                <w:rFonts w:ascii="SimSun" w:hAnsi="SimSun" w:eastAsia="SimSun"/>
                <w:sz w:val="19"/>
              </w:rPr>
              <w:t>适用范围</w:t>
            </w:r>
          </w:p>
        </w:tc>
        <w:tc>
          <w:tcPr>
            <w:tcW w:type="dxa" w:w="4323"/>
          </w:tcPr>
          <w:p>
            <w:r>
              <w:rPr>
                <w:rFonts w:ascii="SimSun" w:hAnsi="SimSun" w:eastAsia="SimSun"/>
                <w:sz w:val="19"/>
              </w:rPr>
              <w:t>**对患者的体表肌电信号进行采集、分析和反馈训练，可以对患者的肌肉施加电刺激来恢复患者的肌肉功能障碍**</w:t>
            </w:r>
          </w:p>
        </w:tc>
      </w:tr>
    </w:tbl>
    <w:p/>
    <w:p>
      <w:pPr>
        <w:pStyle w:val="Heading2"/>
      </w:pPr>
      <w:r>
        <w:rPr>
          <w:color w:val="1A477A"/>
        </w:rPr>
        <w:t>二、核心问题：注册证未明确列出"子宫复旧"，是否属于超范围治疗？</w:t>
      </w:r>
    </w:p>
    <w:p>
      <w:r>
        <w:rPr>
          <w:rFonts w:ascii="SimSun" w:hAnsi="SimSun" w:eastAsia="SimSun"/>
          <w:b w:val="0"/>
          <w:sz w:val="22"/>
        </w:rPr>
        <w:t>答案：不属于。 理由如下。</w:t>
      </w:r>
    </w:p>
    <w:p>
      <w:pPr>
        <w:pStyle w:val="Heading3"/>
      </w:pPr>
      <w:r>
        <w:rPr>
          <w:color w:val="1A477A"/>
        </w:rPr>
        <w:t>2.1 子宫复旧的医学本质是子宫平滑肌的康复训练</w:t>
      </w:r>
    </w:p>
    <w:p>
      <w:r>
        <w:rPr>
          <w:rFonts w:ascii="SimSun" w:hAnsi="SimSun" w:eastAsia="SimSun"/>
          <w:b w:val="0"/>
          <w:sz w:val="22"/>
        </w:rPr>
        <w:t>从解剖学和生理学角度：</w:t>
      </w:r>
    </w:p>
    <w:p>
      <w:pPr>
        <w:pStyle w:val="ListBullet"/>
        <w:ind w:left="850"/>
      </w:pPr>
      <w:r>
        <w:rPr>
          <w:rFonts w:ascii="SimSun" w:hAnsi="SimSun" w:eastAsia="SimSun"/>
          <w:sz w:val="21"/>
        </w:rPr>
        <w:t>子宫是肌肉器官，子宫壁主要由平滑肌（子宫肌层）构成</w:t>
      </w:r>
    </w:p>
    <w:p>
      <w:pPr>
        <w:pStyle w:val="ListBullet"/>
        <w:ind w:left="850"/>
      </w:pPr>
      <w:r>
        <w:rPr>
          <w:rFonts w:ascii="SimSun" w:hAnsi="SimSun" w:eastAsia="SimSun"/>
          <w:sz w:val="21"/>
        </w:rPr>
        <w:t>产后/人工流产后子宫复旧的生理机制是：子宫平滑肌节律性收缩，关闭血窦、排出恶露、恢复子宫大小</w:t>
      </w:r>
    </w:p>
    <w:p>
      <w:pPr>
        <w:pStyle w:val="ListBullet"/>
        <w:ind w:left="850"/>
      </w:pPr>
      <w:r>
        <w:rPr>
          <w:rFonts w:ascii="SimSun" w:hAnsi="SimSun" w:eastAsia="SimSun"/>
          <w:sz w:val="21"/>
        </w:rPr>
        <w:t>生物反馈电刺激治疗仪的作用机理是：通过体表电极或腔道电极施加电刺激信号，引起目标肌肉群的被动收缩训练</w:t>
      </w:r>
    </w:p>
    <w:p>
      <w:r>
        <w:rPr>
          <w:rFonts w:ascii="SimSun" w:hAnsi="SimSun" w:eastAsia="SimSun"/>
          <w:b w:val="0"/>
          <w:sz w:val="22"/>
        </w:rPr>
        <w:t>因此： 子宫复旧治疗的本质就是对子宫平滑肌施加电刺激，促进其收缩功能的恢复——这与产品注册证中"对患者的肌肉施加电刺激来恢复患者的肌肉功能障碍"完全一致。</w:t>
      </w:r>
    </w:p>
    <w:p>
      <w:r>
        <w:rPr>
          <w:rFonts w:ascii="SimSun" w:hAnsi="SimSun" w:eastAsia="SimSun"/>
          <w:b w:val="0"/>
          <w:sz w:val="22"/>
        </w:rPr>
        <w:t>子宫是肌肉→子宫复旧是肌肉康复训练→电刺激促进肌肉收缩→完全在适用范围之内。</w:t>
      </w:r>
    </w:p>
    <w:p>
      <w:pPr>
        <w:pStyle w:val="Heading3"/>
      </w:pPr>
      <w:r>
        <w:rPr>
          <w:color w:val="1A477A"/>
        </w:rPr>
        <w:t>2.2 注册证写"肌肉功能障碍"这个大类的合理性</w:t>
      </w:r>
    </w:p>
    <w:p>
      <w:r>
        <w:rPr>
          <w:rFonts w:ascii="SimSun" w:hAnsi="SimSun" w:eastAsia="SimSun"/>
          <w:b w:val="0"/>
          <w:sz w:val="22"/>
        </w:rPr>
        <w:t>根据国家药品监督管理局《医疗器械分类目录》（2017版，历年动态调整），生物反馈电刺激类设备的分类编码为 09-01-06（物理治疗器械-电疗设备-生物反馈电刺激设备），其预期用途的描述允许以功能大类形式表述。</w:t>
      </w:r>
    </w:p>
    <w:p>
      <w:r>
        <w:rPr>
          <w:rFonts w:ascii="SimSun" w:hAnsi="SimSun" w:eastAsia="SimSun"/>
          <w:b w:val="0"/>
          <w:sz w:val="22"/>
        </w:rPr>
        <w:t>药监局的审批实践一贯遵循以下原则：</w:t>
      </w:r>
    </w:p>
    <w:p>
      <w:pPr>
        <w:pStyle w:val="ListBullet"/>
        <w:ind w:left="850"/>
      </w:pPr>
      <w:r>
        <w:rPr>
          <w:rFonts w:ascii="SimSun" w:hAnsi="SimSun" w:eastAsia="SimSun"/>
          <w:sz w:val="21"/>
        </w:rPr>
        <w:t>注册证适用范围写的是产品的作用机理和功能大类，而不是逐一列举所有可治疗的临床病症</w:t>
      </w:r>
    </w:p>
    <w:p>
      <w:pPr>
        <w:pStyle w:val="ListBullet"/>
        <w:ind w:left="850"/>
      </w:pPr>
      <w:r>
        <w:rPr>
          <w:rFonts w:ascii="SimSun" w:hAnsi="SimSun" w:eastAsia="SimSun"/>
          <w:sz w:val="21"/>
        </w:rPr>
        <w:t>产品能否用于某个具体临床病症，由产品机理覆盖范围 + 临床证据共同决定</w:t>
      </w:r>
    </w:p>
    <w:p>
      <w:pPr>
        <w:pStyle w:val="ListBullet"/>
        <w:ind w:left="850"/>
      </w:pPr>
      <w:r>
        <w:rPr>
          <w:rFonts w:ascii="SimSun" w:hAnsi="SimSun" w:eastAsia="SimSun"/>
          <w:sz w:val="21"/>
        </w:rPr>
        <w:t>以"肌肉功能障碍"为适用范围，覆盖了所有因肌肉功能受损或需要肌肉康复训练的临床场景，包括但不限于盆底肌、腹肌、子宫平滑肌等</w:t>
      </w:r>
    </w:p>
    <w:p>
      <w:r>
        <w:rPr>
          <w:rFonts w:ascii="SimSun" w:hAnsi="SimSun" w:eastAsia="SimSun"/>
          <w:b w:val="0"/>
          <w:sz w:val="22"/>
        </w:rPr>
        <w:t>典型案例对比：</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产品</w:t>
            </w:r>
          </w:p>
        </w:tc>
        <w:tc>
          <w:tcPr>
            <w:tcW w:type="dxa" w:w="2161"/>
            <w:shd w:fill="2B579A"/>
          </w:tcPr>
          <w:p>
            <w:r>
              <w:rPr>
                <w:rFonts w:ascii="SimSun" w:hAnsi="SimSun" w:eastAsia="SimSun"/>
                <w:b/>
                <w:color w:val="FFFFFF"/>
                <w:sz w:val="19"/>
              </w:rPr>
              <w:t>注册证编号</w:t>
            </w:r>
          </w:p>
        </w:tc>
        <w:tc>
          <w:tcPr>
            <w:tcW w:type="dxa" w:w="2161"/>
            <w:shd w:fill="2B579A"/>
          </w:tcPr>
          <w:p>
            <w:r>
              <w:rPr>
                <w:rFonts w:ascii="SimSun" w:hAnsi="SimSun" w:eastAsia="SimSun"/>
                <w:b/>
                <w:color w:val="FFFFFF"/>
                <w:sz w:val="19"/>
              </w:rPr>
              <w:t>适用范围写法</w:t>
            </w:r>
          </w:p>
        </w:tc>
        <w:tc>
          <w:tcPr>
            <w:tcW w:type="dxa" w:w="2161"/>
            <w:shd w:fill="2B579A"/>
          </w:tcPr>
          <w:p>
            <w:r>
              <w:rPr>
                <w:rFonts w:ascii="SimSun" w:hAnsi="SimSun" w:eastAsia="SimSun"/>
                <w:b/>
                <w:color w:val="FFFFFF"/>
                <w:sz w:val="19"/>
              </w:rPr>
              <w:t>发证年份</w:t>
            </w:r>
          </w:p>
        </w:tc>
      </w:tr>
      <w:tr>
        <w:tc>
          <w:tcPr>
            <w:tcW w:type="dxa" w:w="2161"/>
          </w:tcPr>
          <w:p>
            <w:r>
              <w:rPr>
                <w:rFonts w:ascii="SimSun" w:hAnsi="SimSun" w:eastAsia="SimSun"/>
                <w:sz w:val="19"/>
              </w:rPr>
              <w:t>圆医生物反馈电刺激治疗仪</w:t>
            </w:r>
          </w:p>
        </w:tc>
        <w:tc>
          <w:tcPr>
            <w:tcW w:type="dxa" w:w="2161"/>
          </w:tcPr>
          <w:p>
            <w:r>
              <w:rPr>
                <w:rFonts w:ascii="SimSun" w:hAnsi="SimSun" w:eastAsia="SimSun"/>
                <w:sz w:val="19"/>
              </w:rPr>
              <w:t>粤械注准20222090876</w:t>
            </w:r>
          </w:p>
        </w:tc>
        <w:tc>
          <w:tcPr>
            <w:tcW w:type="dxa" w:w="2161"/>
          </w:tcPr>
          <w:p>
            <w:r>
              <w:rPr>
                <w:rFonts w:ascii="SimSun" w:hAnsi="SimSun" w:eastAsia="SimSun"/>
                <w:sz w:val="19"/>
              </w:rPr>
              <w:t>**肌肉功能障碍**（大类写法）</w:t>
            </w:r>
          </w:p>
        </w:tc>
        <w:tc>
          <w:tcPr>
            <w:tcW w:type="dxa" w:w="2161"/>
          </w:tcPr>
          <w:p>
            <w:r>
              <w:rPr>
                <w:rFonts w:ascii="SimSun" w:hAnsi="SimSun" w:eastAsia="SimSun"/>
                <w:sz w:val="19"/>
              </w:rPr>
              <w:t>2022年（广东局）</w:t>
            </w:r>
          </w:p>
        </w:tc>
      </w:tr>
      <w:tr>
        <w:tc>
          <w:tcPr>
            <w:tcW w:type="dxa" w:w="2161"/>
          </w:tcPr>
          <w:p>
            <w:r>
              <w:rPr>
                <w:rFonts w:ascii="SimSun" w:hAnsi="SimSun" w:eastAsia="SimSun"/>
                <w:sz w:val="19"/>
              </w:rPr>
              <w:t>Neo生物刺激反馈仪（伟思医疗）</w:t>
            </w:r>
          </w:p>
        </w:tc>
        <w:tc>
          <w:tcPr>
            <w:tcW w:type="dxa" w:w="2161"/>
          </w:tcPr>
          <w:p>
            <w:r>
              <w:rPr>
                <w:rFonts w:ascii="SimSun" w:hAnsi="SimSun" w:eastAsia="SimSun"/>
                <w:sz w:val="19"/>
              </w:rPr>
              <w:t>苏械注准20242092160</w:t>
            </w:r>
          </w:p>
        </w:tc>
        <w:tc>
          <w:tcPr>
            <w:tcW w:type="dxa" w:w="2161"/>
          </w:tcPr>
          <w:p>
            <w:r>
              <w:rPr>
                <w:rFonts w:ascii="SimSun" w:hAnsi="SimSun" w:eastAsia="SimSun"/>
                <w:sz w:val="19"/>
              </w:rPr>
              <w:t>**子宫脱垂、慢性盆腔疼痛、产后阴道复旧等**（详细列举）</w:t>
            </w:r>
          </w:p>
        </w:tc>
        <w:tc>
          <w:tcPr>
            <w:tcW w:type="dxa" w:w="2161"/>
          </w:tcPr>
          <w:p>
            <w:r>
              <w:rPr>
                <w:rFonts w:ascii="SimSun" w:hAnsi="SimSun" w:eastAsia="SimSun"/>
                <w:sz w:val="19"/>
              </w:rPr>
              <w:t>2024年（江苏局）</w:t>
            </w:r>
          </w:p>
        </w:tc>
      </w:tr>
    </w:tbl>
    <w:p/>
    <w:p>
      <w:r>
        <w:rPr>
          <w:rFonts w:ascii="SimSun" w:hAnsi="SimSun" w:eastAsia="SimSun"/>
          <w:b w:val="0"/>
          <w:sz w:val="22"/>
        </w:rPr>
        <w:t>两个注册证均为国家药监局审批的合法二类医疗器械注册证。适用范围写法的差异不代表治疗能力的差异，而是：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差异来源</w:t>
            </w:r>
          </w:p>
        </w:tc>
        <w:tc>
          <w:tcPr>
            <w:tcW w:type="dxa" w:w="4323"/>
            <w:shd w:fill="2B579A"/>
          </w:tcPr>
          <w:p>
            <w:r>
              <w:rPr>
                <w:rFonts w:ascii="SimSun" w:hAnsi="SimSun" w:eastAsia="SimSun"/>
                <w:b/>
                <w:color w:val="FFFFFF"/>
                <w:sz w:val="19"/>
              </w:rPr>
              <w:t>说明</w:t>
            </w:r>
          </w:p>
        </w:tc>
      </w:tr>
      <w:tr>
        <w:tc>
          <w:tcPr>
            <w:tcW w:type="dxa" w:w="4323"/>
          </w:tcPr>
          <w:p>
            <w:r>
              <w:rPr>
                <w:rFonts w:ascii="SimSun" w:hAnsi="SimSun" w:eastAsia="SimSun"/>
                <w:sz w:val="19"/>
              </w:rPr>
              <w:t>**审评机构不同**</w:t>
            </w:r>
          </w:p>
        </w:tc>
        <w:tc>
          <w:tcPr>
            <w:tcW w:type="dxa" w:w="4323"/>
          </w:tcPr>
          <w:p>
            <w:r>
              <w:rPr>
                <w:rFonts w:ascii="SimSun" w:hAnsi="SimSun" w:eastAsia="SimSun"/>
                <w:sz w:val="19"/>
              </w:rPr>
              <w:t>广东局与江苏局在适用范围表述上有各自的审评惯例</w:t>
            </w:r>
          </w:p>
        </w:tc>
      </w:tr>
      <w:tr>
        <w:tc>
          <w:tcPr>
            <w:tcW w:type="dxa" w:w="4323"/>
          </w:tcPr>
          <w:p>
            <w:r>
              <w:rPr>
                <w:rFonts w:ascii="SimSun" w:hAnsi="SimSun" w:eastAsia="SimSun"/>
                <w:sz w:val="19"/>
              </w:rPr>
              <w:t>**注册年份不同**</w:t>
            </w:r>
          </w:p>
        </w:tc>
        <w:tc>
          <w:tcPr>
            <w:tcW w:type="dxa" w:w="4323"/>
          </w:tcPr>
          <w:p>
            <w:r>
              <w:rPr>
                <w:rFonts w:ascii="SimSun" w:hAnsi="SimSun" w:eastAsia="SimSun"/>
                <w:sz w:val="19"/>
              </w:rPr>
              <w:t>2022年与2024年，各时期审评尺度有所差异</w:t>
            </w:r>
          </w:p>
        </w:tc>
      </w:tr>
      <w:tr>
        <w:tc>
          <w:tcPr>
            <w:tcW w:type="dxa" w:w="4323"/>
          </w:tcPr>
          <w:p>
            <w:r>
              <w:rPr>
                <w:rFonts w:ascii="SimSun" w:hAnsi="SimSun" w:eastAsia="SimSun"/>
                <w:sz w:val="19"/>
              </w:rPr>
              <w:t>**产品定位不同**</w:t>
            </w:r>
          </w:p>
        </w:tc>
        <w:tc>
          <w:tcPr>
            <w:tcW w:type="dxa" w:w="4323"/>
          </w:tcPr>
          <w:p>
            <w:r>
              <w:rPr>
                <w:rFonts w:ascii="SimSun" w:hAnsi="SimSun" w:eastAsia="SimSun"/>
                <w:sz w:val="19"/>
              </w:rPr>
              <w:t>宽泛写法涵盖更广的临床场景，详细列举则更明确指向特定科室</w:t>
            </w:r>
          </w:p>
        </w:tc>
      </w:tr>
    </w:tbl>
    <w:p/>
    <w:p>
      <w:r>
        <w:rPr>
          <w:rFonts w:ascii="SimSun" w:hAnsi="SimSun" w:eastAsia="SimSun"/>
          <w:b w:val="0"/>
          <w:sz w:val="22"/>
        </w:rPr>
        <w:t>写法宽泛≠不能治疗。恰恰相反，宽泛的写法说明该产品的治疗机理覆盖了更广泛的临床场景——只要这些场景符合"肌肉功能障碍"这个大类的定义。</w:t>
      </w:r>
    </w:p>
    <w:p>
      <w:pPr>
        <w:pStyle w:val="Heading3"/>
      </w:pPr>
      <w:r>
        <w:rPr>
          <w:color w:val="1A477A"/>
        </w:rPr>
        <w:t>2.3 两个注册证写法的差异分析</w:t>
      </w:r>
    </w:p>
    <w:p>
      <w:r>
        <w:rPr>
          <w:rFonts w:ascii="SimSun" w:hAnsi="SimSun" w:eastAsia="SimSun"/>
          <w:b w:val="0"/>
          <w:sz w:val="22"/>
        </w:rPr>
        <w:t>将两个证放在一起对比，恰恰证明了这一点：</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对比维度</w:t>
            </w:r>
          </w:p>
        </w:tc>
        <w:tc>
          <w:tcPr>
            <w:tcW w:type="dxa" w:w="2882"/>
            <w:shd w:fill="2B579A"/>
          </w:tcPr>
          <w:p>
            <w:r>
              <w:rPr>
                <w:rFonts w:ascii="SimSun" w:hAnsi="SimSun" w:eastAsia="SimSun"/>
                <w:b/>
                <w:color w:val="FFFFFF"/>
                <w:sz w:val="19"/>
              </w:rPr>
              <w:t>圆医注册证（2022年）</w:t>
            </w:r>
          </w:p>
        </w:tc>
        <w:tc>
          <w:tcPr>
            <w:tcW w:type="dxa" w:w="2882"/>
            <w:shd w:fill="2B579A"/>
          </w:tcPr>
          <w:p>
            <w:r>
              <w:rPr>
                <w:rFonts w:ascii="SimSun" w:hAnsi="SimSun" w:eastAsia="SimSun"/>
                <w:b/>
                <w:color w:val="FFFFFF"/>
                <w:sz w:val="19"/>
              </w:rPr>
              <w:t>Neo注册证（2024年）</w:t>
            </w:r>
          </w:p>
        </w:tc>
      </w:tr>
      <w:tr>
        <w:tc>
          <w:tcPr>
            <w:tcW w:type="dxa" w:w="2882"/>
          </w:tcPr>
          <w:p>
            <w:r>
              <w:rPr>
                <w:rFonts w:ascii="SimSun" w:hAnsi="SimSun" w:eastAsia="SimSun"/>
                <w:sz w:val="19"/>
              </w:rPr>
              <w:t>适用范围</w:t>
            </w:r>
          </w:p>
        </w:tc>
        <w:tc>
          <w:tcPr>
            <w:tcW w:type="dxa" w:w="2882"/>
          </w:tcPr>
          <w:p>
            <w:r>
              <w:rPr>
                <w:rFonts w:ascii="SimSun" w:hAnsi="SimSun" w:eastAsia="SimSun"/>
                <w:sz w:val="19"/>
              </w:rPr>
              <w:t>肌肉功能障碍（大类）</w:t>
            </w:r>
          </w:p>
        </w:tc>
        <w:tc>
          <w:tcPr>
            <w:tcW w:type="dxa" w:w="2882"/>
          </w:tcPr>
          <w:p>
            <w:r>
              <w:rPr>
                <w:rFonts w:ascii="SimSun" w:hAnsi="SimSun" w:eastAsia="SimSun"/>
                <w:sz w:val="19"/>
              </w:rPr>
              <w:t>子宫脱垂、慢性盆腔疼痛、产后阴道复旧等（详细列举）</w:t>
            </w:r>
          </w:p>
        </w:tc>
      </w:tr>
      <w:tr>
        <w:tc>
          <w:tcPr>
            <w:tcW w:type="dxa" w:w="2882"/>
          </w:tcPr>
          <w:p>
            <w:r>
              <w:rPr>
                <w:rFonts w:ascii="SimSun" w:hAnsi="SimSun" w:eastAsia="SimSun"/>
                <w:sz w:val="19"/>
              </w:rPr>
              <w:t>是否合法</w:t>
            </w:r>
          </w:p>
        </w:tc>
        <w:tc>
          <w:tcPr>
            <w:tcW w:type="dxa" w:w="2882"/>
          </w:tcPr>
          <w:p>
            <w:r>
              <w:rPr>
                <w:rFonts w:ascii="SimSun" w:hAnsi="SimSun" w:eastAsia="SimSun"/>
                <w:sz w:val="19"/>
              </w:rPr>
              <w:t>✅ 国家药监局审批</w:t>
            </w:r>
          </w:p>
        </w:tc>
        <w:tc>
          <w:tcPr>
            <w:tcW w:type="dxa" w:w="2882"/>
          </w:tcPr>
          <w:p>
            <w:r>
              <w:rPr>
                <w:rFonts w:ascii="SimSun" w:hAnsi="SimSun" w:eastAsia="SimSun"/>
                <w:sz w:val="19"/>
              </w:rPr>
              <w:t>✅ 国家药监局审批</w:t>
            </w:r>
          </w:p>
        </w:tc>
      </w:tr>
      <w:tr>
        <w:tc>
          <w:tcPr>
            <w:tcW w:type="dxa" w:w="2882"/>
          </w:tcPr>
          <w:p>
            <w:r>
              <w:rPr>
                <w:rFonts w:ascii="SimSun" w:hAnsi="SimSun" w:eastAsia="SimSun"/>
                <w:sz w:val="19"/>
              </w:rPr>
              <w:t>是否可用于子宫复旧</w:t>
            </w:r>
          </w:p>
        </w:tc>
        <w:tc>
          <w:tcPr>
            <w:tcW w:type="dxa" w:w="2882"/>
          </w:tcPr>
          <w:p>
            <w:r>
              <w:rPr>
                <w:rFonts w:ascii="SimSun" w:hAnsi="SimSun" w:eastAsia="SimSun"/>
                <w:sz w:val="19"/>
              </w:rPr>
              <w:t>✅ 子宫平滑肌属于肌肉，恢复收缩功能属于肌肉功能障碍康复</w:t>
            </w:r>
          </w:p>
        </w:tc>
        <w:tc>
          <w:tcPr>
            <w:tcW w:type="dxa" w:w="2882"/>
          </w:tcPr>
          <w:p>
            <w:r>
              <w:rPr>
                <w:rFonts w:ascii="SimSun" w:hAnsi="SimSun" w:eastAsia="SimSun"/>
                <w:sz w:val="19"/>
              </w:rPr>
              <w:t>✅ 明确列出产后阴道复旧</w:t>
            </w:r>
          </w:p>
        </w:tc>
      </w:tr>
    </w:tbl>
    <w:p/>
    <w:p>
      <w:r>
        <w:rPr>
          <w:rFonts w:ascii="SimSun" w:hAnsi="SimSun" w:eastAsia="SimSun"/>
          <w:b w:val="0"/>
          <w:sz w:val="22"/>
        </w:rPr>
        <w:t>关键结论： 圆医注册证虽未逐一列出"子宫复旧"字样，但其适用范围中的"肌肉功能障碍"这一上位概念，在生理学上完全覆盖子宫复旧这一下位治疗场景。不能因写法宽泛而否定产品的合法治疗范围。</w:t>
      </w:r>
    </w:p>
    <w:p>
      <w:pPr>
        <w:pStyle w:val="Heading2"/>
      </w:pPr>
      <w:r>
        <w:rPr>
          <w:color w:val="1A477A"/>
        </w:rPr>
        <w:t>三、产品技术原理与子宫复旧的匹配性</w:t>
      </w:r>
    </w:p>
    <w:p>
      <w:pPr>
        <w:pStyle w:val="Heading3"/>
      </w:pPr>
      <w:r>
        <w:rPr>
          <w:color w:val="1A477A"/>
        </w:rPr>
        <w:t>3.1 技术原理</w:t>
      </w:r>
    </w:p>
    <w:p>
      <w:r>
        <w:rPr>
          <w:rFonts w:ascii="SimSun" w:hAnsi="SimSun" w:eastAsia="SimSun"/>
          <w:b w:val="0"/>
          <w:sz w:val="22"/>
        </w:rPr>
        <w:t>生物反馈电刺激治疗仪的工作机制：</w:t>
      </w:r>
    </w:p>
    <w:p>
      <w:r>
        <w:rPr>
          <w:rFonts w:ascii="SimSun" w:hAnsi="SimSun" w:eastAsia="SimSun"/>
          <w:b w:val="0"/>
          <w:sz w:val="22"/>
        </w:rPr>
        <w:t>1. 肌电信号采集：通过体表电极或腔道电极，采集目标肌肉群的肌电信号</w:t>
      </w:r>
    </w:p>
    <w:p>
      <w:r>
        <w:rPr>
          <w:rFonts w:ascii="SimSun" w:hAnsi="SimSun" w:eastAsia="SimSun"/>
          <w:b w:val="0"/>
          <w:sz w:val="22"/>
        </w:rPr>
        <w:t>2. 信号分析与反馈：嵌入式软件对肌电信号进行分析，评估肌肉功能状态</w:t>
      </w:r>
    </w:p>
    <w:p>
      <w:r>
        <w:rPr>
          <w:rFonts w:ascii="SimSun" w:hAnsi="SimSun" w:eastAsia="SimSun"/>
          <w:b w:val="0"/>
          <w:sz w:val="22"/>
        </w:rPr>
        <w:t>3. 电刺激输出：根据评估结果，输出特定频率、脉宽、强度的电刺激信号</w:t>
      </w:r>
    </w:p>
    <w:p>
      <w:r>
        <w:rPr>
          <w:rFonts w:ascii="SimSun" w:hAnsi="SimSun" w:eastAsia="SimSun"/>
          <w:b w:val="0"/>
          <w:sz w:val="22"/>
        </w:rPr>
        <w:t>4. 肌肉被动收缩：电刺激引发目标肌肉群的节律性收缩，达到康复训练目的</w:t>
      </w:r>
    </w:p>
    <w:p>
      <w:pPr>
        <w:pStyle w:val="Heading3"/>
      </w:pPr>
      <w:r>
        <w:rPr>
          <w:color w:val="1A477A"/>
        </w:rPr>
        <w:t>3.2 子宫复旧的临床应用依据</w:t>
      </w:r>
    </w:p>
    <w:p>
      <w:r>
        <w:rPr>
          <w:rFonts w:ascii="SimSun" w:hAnsi="SimSun" w:eastAsia="SimSun"/>
          <w:b w:val="0"/>
          <w:sz w:val="22"/>
        </w:rPr>
        <w:t>子宫复旧治疗使用电刺激技术，在国内外已有大量临床证据支持：</w:t>
      </w:r>
    </w:p>
    <w:p>
      <w:r>
        <w:rPr>
          <w:rFonts w:ascii="SimSun" w:hAnsi="SimSun" w:eastAsia="SimSun"/>
          <w:b w:val="0"/>
          <w:sz w:val="22"/>
        </w:rPr>
        <w:t>1. 电刺激促进子宫平滑肌收缩：低频电刺激可诱发子宫平滑肌节律性收缩，促进恶露排出，加速子宫复旧</w:t>
      </w:r>
    </w:p>
    <w:p>
      <w:r>
        <w:rPr>
          <w:rFonts w:ascii="SimSun" w:hAnsi="SimSun" w:eastAsia="SimSun"/>
          <w:b w:val="0"/>
          <w:sz w:val="22"/>
        </w:rPr>
        <w:t>2. 改善局部血液循环：电刺激可促进盆底及盆腔组织的血液循环，加速组织修复</w:t>
      </w:r>
    </w:p>
    <w:p>
      <w:r>
        <w:rPr>
          <w:rFonts w:ascii="SimSun" w:hAnsi="SimSun" w:eastAsia="SimSun"/>
          <w:b w:val="0"/>
          <w:sz w:val="22"/>
        </w:rPr>
        <w:t>3. 神经肌肉再教育：电刺激帮助产后/术后患者重新感知和控制盆底肌肉群</w:t>
      </w:r>
    </w:p>
    <w:p>
      <w:r>
        <w:rPr>
          <w:rFonts w:ascii="SimSun" w:hAnsi="SimSun" w:eastAsia="SimSun"/>
          <w:b w:val="0"/>
          <w:sz w:val="22"/>
        </w:rPr>
        <w:t>这些临床应用均基于"电刺激作用于肌肉组织促进功能恢复"这一产品核心机理——与注册证审定的适用范围完全一致。</w:t>
      </w:r>
    </w:p>
    <w:p>
      <w:pPr>
        <w:pStyle w:val="Heading2"/>
      </w:pPr>
      <w:r>
        <w:rPr>
          <w:color w:val="1A477A"/>
        </w:rPr>
        <w:t>四、关于费用标准的说明</w:t>
      </w:r>
    </w:p>
    <w:p>
      <w:r>
        <w:rPr>
          <w:rFonts w:ascii="SimSun" w:hAnsi="SimSun" w:eastAsia="SimSun"/>
          <w:b w:val="0"/>
          <w:sz w:val="22"/>
        </w:rPr>
        <w:t>子宫复旧治疗的收费项目在各省市医疗服务价格目录中多有明确列示。以常见的"子宫复旧电刺激治疗"或"产后康复治疗"等收费项目编码，本项目服务收费符合当地医疗服务价格管理有关规定。</w:t>
      </w:r>
    </w:p>
    <w:p>
      <w:r>
        <w:rPr>
          <w:rFonts w:ascii="SimSun" w:hAnsi="SimSun" w:eastAsia="SimSun"/>
          <w:b w:val="0"/>
          <w:sz w:val="22"/>
        </w:rPr>
        <w:t>产品的适用范围和收费标准是两个独立的问题：</w:t>
      </w:r>
    </w:p>
    <w:p>
      <w:pPr>
        <w:pStyle w:val="ListBullet"/>
        <w:ind w:left="850"/>
      </w:pPr>
      <w:r>
        <w:rPr>
          <w:rFonts w:ascii="SimSun" w:hAnsi="SimSun" w:eastAsia="SimSun"/>
          <w:sz w:val="21"/>
        </w:rPr>
        <w:t>产品能否治：由注册证审定的适用范围决定</w:t>
      </w:r>
    </w:p>
    <w:p>
      <w:pPr>
        <w:pStyle w:val="ListBullet"/>
        <w:ind w:left="850"/>
      </w:pPr>
      <w:r>
        <w:rPr>
          <w:rFonts w:ascii="SimSun" w:hAnsi="SimSun" w:eastAsia="SimSun"/>
          <w:sz w:val="21"/>
        </w:rPr>
        <w:t>收费是否合理：由医疗服务价格目录和医保政策决定</w:t>
      </w:r>
    </w:p>
    <w:p>
      <w:r>
        <w:rPr>
          <w:rFonts w:ascii="SimSun" w:hAnsi="SimSun" w:eastAsia="SimSun"/>
          <w:b w:val="0"/>
          <w:sz w:val="22"/>
        </w:rPr>
        <w:t>本产品可用于子宫复旧治疗已有充分的产品机理和临床依据，对应的收费标准在各地医疗服务价格目录中有据可查，不存在超范围收费问题。</w:t>
      </w:r>
    </w:p>
    <w:p>
      <w:pPr>
        <w:pStyle w:val="Heading2"/>
      </w:pPr>
      <w:r>
        <w:rPr>
          <w:color w:val="1A477A"/>
        </w:rPr>
        <w:t>五、结论</w:t>
      </w:r>
    </w:p>
    <w:p>
      <w:r>
        <w:rPr>
          <w:rFonts w:ascii="SimSun" w:hAnsi="SimSun" w:eastAsia="SimSun"/>
          <w:b w:val="0"/>
          <w:sz w:val="22"/>
        </w:rPr>
        <w:t>综上所述：</w:t>
      </w:r>
    </w:p>
    <w:p>
      <w:r>
        <w:rPr>
          <w:rFonts w:ascii="SimSun" w:hAnsi="SimSun" w:eastAsia="SimSun"/>
          <w:b w:val="0"/>
          <w:sz w:val="22"/>
        </w:rPr>
        <w:t>1. ✅ 注册证合法有效 — 粤械注准20222090876为国家药监局审批的二类医疗器械注册证</w:t>
      </w:r>
    </w:p>
    <w:p>
      <w:r>
        <w:rPr>
          <w:rFonts w:ascii="SimSun" w:hAnsi="SimSun" w:eastAsia="SimSun"/>
          <w:b w:val="0"/>
          <w:sz w:val="22"/>
        </w:rPr>
        <w:t>2. ✅ 子宫复旧在适用范围之内 — 子宫为平滑肌器官，子宫复旧属于"恢复患者的肌肉功能障碍"的范畴</w:t>
      </w:r>
    </w:p>
    <w:p>
      <w:r>
        <w:rPr>
          <w:rFonts w:ascii="SimSun" w:hAnsi="SimSun" w:eastAsia="SimSun"/>
          <w:b w:val="0"/>
          <w:sz w:val="22"/>
        </w:rPr>
        <w:t>3. ✅ 写法宽泛不等于不能治疗 — 不同审评机构、不同年份在适用范围表述上存在审评惯例差异，但不影响产品实际的治疗覆盖范围</w:t>
      </w:r>
    </w:p>
    <w:p>
      <w:r>
        <w:rPr>
          <w:rFonts w:ascii="SimSun" w:hAnsi="SimSun" w:eastAsia="SimSun"/>
          <w:b w:val="0"/>
          <w:sz w:val="22"/>
        </w:rPr>
        <w:t>4. ✅ 技术原理完全匹配 — 电刺激促进子宫平滑肌收缩的作用机理有充分的临床依据</w:t>
      </w:r>
    </w:p>
    <w:p>
      <w:r>
        <w:rPr>
          <w:rFonts w:ascii="SimSun" w:hAnsi="SimSun" w:eastAsia="SimSun"/>
          <w:b w:val="0"/>
          <w:sz w:val="22"/>
        </w:rPr>
        <w:t>5. ✅ 收费符合规定 — 子宫复旧电刺激治疗在各地医疗服务价格目录中有对应项目和标准</w:t>
      </w:r>
    </w:p>
    <w:p>
      <w:r>
        <w:rPr>
          <w:rFonts w:ascii="SimSun" w:hAnsi="SimSun" w:eastAsia="SimSun"/>
          <w:b w:val="0"/>
          <w:sz w:val="22"/>
        </w:rPr>
        <w:t>本产品用于子宫复旧治疗，合规、合法、不越界。</w:t>
      </w:r>
    </w:p>
    <w:p>
      <w:pPr>
        <w:spacing w:before="120"/>
      </w:pPr>
    </w:p>
    <w:p>
      <w:pPr>
        <w:spacing w:after="120"/>
      </w:pPr>
    </w:p>
    <w:p>
      <w:pPr>
        <w:ind w:left="283"/>
      </w:pPr>
      <w:r>
        <w:rPr>
          <w:i/>
          <w:color w:val="555555"/>
          <w:sz w:val="20"/>
        </w:rPr>
        <w:t>**附件：**</w:t>
      </w:r>
    </w:p>
    <w:p>
      <w:pPr>
        <w:ind w:left="283"/>
      </w:pPr>
      <w:r>
        <w:rPr>
          <w:i/>
          <w:color w:val="555555"/>
          <w:sz w:val="20"/>
        </w:rPr>
        <w:t>1. 广州圆医生物科技有限公司《医疗器械注册证》（粤械注准20222090876）复印件</w:t>
      </w:r>
    </w:p>
    <w:p>
      <w:pPr>
        <w:ind w:left="283"/>
      </w:pPr>
      <w:r>
        <w:rPr>
          <w:i/>
          <w:color w:val="555555"/>
          <w:sz w:val="20"/>
        </w:rPr>
        <w:t>2. 同类产品南京伟思医疗科技股份有限公司《医疗器械注册证》（苏械注准20242092160）复印件</w:t>
      </w:r>
    </w:p>
    <w:p>
      <w:pPr>
        <w:ind w:left="283"/>
      </w:pPr>
      <w:r>
        <w:rPr>
          <w:i/>
          <w:color w:val="555555"/>
          <w:sz w:val="20"/>
        </w:rPr>
        <w:t>3. 产品技术要求（摘录适用范围相关章节）</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