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胃肠健康管理 · 居家延续治疗项目合作方案</w:t>
      </w:r>
    </w:p>
    <w:p>
      <w:pPr>
        <w:spacing w:after="120" w:line="312" w:lineRule="auto"/>
      </w:pPr>
      <w:r/>
      <w:r>
        <w:rPr>
          <w:b/>
        </w:rPr>
        <w:t>合作方：广州圆爱康生物科技有限公司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一、项目概况</w:t>
      </w:r>
    </w:p>
    <w:p>
      <w:pPr>
        <w:pStyle w:val="Heading3"/>
      </w:pPr>
      <w:r>
        <w:rPr>
          <w:color w:val="2D5F9E"/>
          <w:sz w:val="26"/>
        </w:rPr>
        <w:t>1.1 项目名称</w:t>
      </w:r>
    </w:p>
    <w:p>
      <w:pPr>
        <w:spacing w:after="120" w:line="312" w:lineRule="auto"/>
      </w:pPr>
      <w:r>
        <w:t>胃肠健康管理 · 居家延续治疗</w:t>
      </w:r>
    </w:p>
    <w:p>
      <w:pPr>
        <w:pStyle w:val="Heading3"/>
      </w:pPr>
      <w:r>
        <w:rPr>
          <w:color w:val="2D5F9E"/>
          <w:sz w:val="26"/>
        </w:rPr>
        <w:t>1.2 服务对象</w:t>
      </w:r>
    </w:p>
    <w:p>
      <w:pPr>
        <w:spacing w:after="120" w:line="312" w:lineRule="auto"/>
      </w:pPr>
      <w:r>
        <w:t>门诊、出院确诊胃食管反流、慢性功能性便秘（慢传输型）、出口梗阻性便秘、胃肠功能紊乱的患者，提供居家健康管理服务。</w:t>
      </w:r>
    </w:p>
    <w:p>
      <w:pPr>
        <w:pStyle w:val="Heading3"/>
      </w:pPr>
      <w:r>
        <w:rPr>
          <w:color w:val="2D5F9E"/>
          <w:sz w:val="26"/>
        </w:rPr>
        <w:t>1.3 临床依据</w:t>
      </w:r>
    </w:p>
    <w:p>
      <w:pPr>
        <w:spacing w:after="120" w:line="312" w:lineRule="auto"/>
      </w:pPr>
      <w:r>
        <w:t>经皮电刺激治疗胃肠疾病有充分的循证医学证据：</w:t>
      </w:r>
    </w:p>
    <w:p>
      <w:pPr>
        <w:pStyle w:val="ListBullet"/>
        <w:spacing w:after="60"/>
        <w:ind w:left="567"/>
      </w:pPr>
      <w:r/>
      <w:r>
        <w:rPr>
          <w:b/>
        </w:rPr>
        <w:t>慢性便秘/慢传输型便秘</w:t>
      </w:r>
      <w:r>
        <w:t>：116篇临床试验，2024年RCT证实电刺激可加速结肠传输</w:t>
      </w:r>
    </w:p>
    <w:p>
      <w:pPr>
        <w:pStyle w:val="ListBullet"/>
        <w:spacing w:after="60"/>
        <w:ind w:left="567"/>
      </w:pPr>
      <w:r/>
      <w:r>
        <w:rPr>
          <w:b/>
        </w:rPr>
        <w:t>胃食管反流（GERD）</w:t>
      </w:r>
      <w:r>
        <w:t>：15篇临床试验，证实电刺激可提升食管下括约肌压力、改善胃排空</w:t>
      </w:r>
    </w:p>
    <w:p>
      <w:pPr>
        <w:pStyle w:val="ListBullet"/>
        <w:spacing w:after="60"/>
        <w:ind w:left="567"/>
      </w:pPr>
      <w:r/>
      <w:r>
        <w:rPr>
          <w:b/>
        </w:rPr>
        <w:t>出口梗阻性便秘</w:t>
      </w:r>
      <w:r>
        <w:t>：生物反馈治疗被多个临床指南推荐为一线治疗方案</w:t>
      </w:r>
    </w:p>
    <w:p>
      <w:pPr>
        <w:spacing w:after="120" w:line="312" w:lineRule="auto"/>
      </w:pPr>
      <w:r>
        <w:t>体表胃肠起搏通过电刺激调节胃肠生物电节律，提升食管下括约肌压力，改善胃排空、结肠传输功能。作为药物配套的居家无创康复手段，属于消化慢病延续性标准化服务。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二、服务内容</w:t>
      </w:r>
    </w:p>
    <w:p>
      <w:pPr>
        <w:pStyle w:val="Heading3"/>
      </w:pPr>
      <w:r>
        <w:rPr>
          <w:color w:val="2D5F9E"/>
          <w:sz w:val="26"/>
        </w:rPr>
        <w:t>2.1 适应症与治疗方案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适应症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治疗方案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疗程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作用机制</w:t>
            </w:r>
          </w:p>
        </w:tc>
      </w:tr>
      <w:tr>
        <w:tc>
          <w:tcPr>
            <w:tcW w:type="dxa" w:w="2160"/>
          </w:tcPr>
          <w:p>
            <w:r/>
            <w:r>
              <w:t>出口梗阻性便秘</w:t>
            </w:r>
          </w:p>
        </w:tc>
        <w:tc>
          <w:tcPr>
            <w:tcW w:type="dxa" w:w="2160"/>
          </w:tcPr>
          <w:p>
            <w:r/>
            <w:r>
              <w:t>生物反馈电刺激治疗</w:t>
            </w:r>
          </w:p>
        </w:tc>
        <w:tc>
          <w:tcPr>
            <w:tcW w:type="dxa" w:w="2160"/>
          </w:tcPr>
          <w:p>
            <w:r/>
            <w:r>
              <w:t>10-15次/疗程</w:t>
            </w:r>
          </w:p>
        </w:tc>
        <w:tc>
          <w:tcPr>
            <w:tcW w:type="dxa" w:w="2160"/>
          </w:tcPr>
          <w:p>
            <w:r/>
            <w:r>
              <w:t>训练盆底肌协调，纠正排便时肌肉矛盾收缩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肠蠕动慢（慢传输型便秘）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胃肠起搏治疗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10-15次/疗程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电刺激增强结肠蠕动节律</w:t>
            </w:r>
          </w:p>
        </w:tc>
      </w:tr>
      <w:tr>
        <w:tc>
          <w:tcPr>
            <w:tcW w:type="dxa" w:w="2160"/>
          </w:tcPr>
          <w:p>
            <w:r/>
            <w:r>
              <w:t>胃食管反流（GERD）</w:t>
            </w:r>
          </w:p>
        </w:tc>
        <w:tc>
          <w:tcPr>
            <w:tcW w:type="dxa" w:w="2160"/>
          </w:tcPr>
          <w:p>
            <w:r/>
            <w:r>
              <w:t>胃肠起搏治疗</w:t>
            </w:r>
          </w:p>
        </w:tc>
        <w:tc>
          <w:tcPr>
            <w:tcW w:type="dxa" w:w="2160"/>
          </w:tcPr>
          <w:p>
            <w:r/>
            <w:r>
              <w:t>10-15次/疗程</w:t>
            </w:r>
          </w:p>
        </w:tc>
        <w:tc>
          <w:tcPr>
            <w:tcW w:type="dxa" w:w="2160"/>
          </w:tcPr>
          <w:p>
            <w:r/>
            <w:r>
              <w:t>提升食管下括约肌压力，改善胃排空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2.2 服务包设置</w:t>
      </w:r>
    </w:p>
    <w:p>
      <w:pPr>
        <w:spacing w:after="120" w:line="312" w:lineRule="auto"/>
      </w:pPr>
      <w:r/>
      <w:r>
        <w:rPr>
          <w:b/>
        </w:rPr>
        <w:t>单品疗程（单一适应症）：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适应症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疗程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价格</w:t>
            </w:r>
          </w:p>
        </w:tc>
      </w:tr>
      <w:tr>
        <w:tc>
          <w:tcPr>
            <w:tcW w:type="dxa" w:w="2160"/>
          </w:tcPr>
          <w:p>
            <w:r/>
            <w:r>
              <w:t>出口梗阻性便秘康复</w:t>
            </w:r>
          </w:p>
        </w:tc>
        <w:tc>
          <w:tcPr>
            <w:tcW w:type="dxa" w:w="2160"/>
          </w:tcPr>
          <w:p>
            <w:r/>
            <w:r>
              <w:t>出口梗阻性便秘</w:t>
            </w:r>
          </w:p>
        </w:tc>
        <w:tc>
          <w:tcPr>
            <w:tcW w:type="dxa" w:w="2160"/>
          </w:tcPr>
          <w:p>
            <w:r/>
            <w:r>
              <w:t>10-15次</w:t>
            </w:r>
          </w:p>
        </w:tc>
        <w:tc>
          <w:tcPr>
            <w:tcW w:type="dxa" w:w="2160"/>
          </w:tcPr>
          <w:p>
            <w:r/>
            <w:r>
              <w:t>2,300-2,500元/疗程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慢传输型便秘管理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肠蠕动慢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10-15次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2,300-2,500元/疗程</w:t>
            </w:r>
          </w:p>
        </w:tc>
      </w:tr>
      <w:tr>
        <w:tc>
          <w:tcPr>
            <w:tcW w:type="dxa" w:w="2160"/>
          </w:tcPr>
          <w:p>
            <w:r/>
            <w:r>
              <w:t>胃食管反流康复</w:t>
            </w:r>
          </w:p>
        </w:tc>
        <w:tc>
          <w:tcPr>
            <w:tcW w:type="dxa" w:w="2160"/>
          </w:tcPr>
          <w:p>
            <w:r/>
            <w:r>
              <w:t>GERD</w:t>
            </w:r>
          </w:p>
        </w:tc>
        <w:tc>
          <w:tcPr>
            <w:tcW w:type="dxa" w:w="2160"/>
          </w:tcPr>
          <w:p>
            <w:r/>
            <w:r>
              <w:t>10-15次</w:t>
            </w:r>
          </w:p>
        </w:tc>
        <w:tc>
          <w:tcPr>
            <w:tcW w:type="dxa" w:w="2160"/>
          </w:tcPr>
          <w:p>
            <w:r/>
            <w:r>
              <w:t>待临床确认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组合服务包（合并适应症）：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服务包名称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包含内容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疗程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价格</w:t>
            </w:r>
          </w:p>
        </w:tc>
      </w:tr>
      <w:tr>
        <w:tc>
          <w:tcPr>
            <w:tcW w:type="dxa" w:w="2160"/>
          </w:tcPr>
          <w:p>
            <w:r/>
            <w:r>
              <w:t>便秘综合服务包</w:t>
            </w:r>
          </w:p>
        </w:tc>
        <w:tc>
          <w:tcPr>
            <w:tcW w:type="dxa" w:w="2160"/>
          </w:tcPr>
          <w:p>
            <w:r/>
            <w:r>
              <w:t>出口梗阻性便秘 + 慢传输型便秘</w:t>
            </w:r>
          </w:p>
        </w:tc>
        <w:tc>
          <w:tcPr>
            <w:tcW w:type="dxa" w:w="2160"/>
          </w:tcPr>
          <w:p>
            <w:r/>
            <w:r>
              <w:t>各10-15次</w:t>
            </w:r>
          </w:p>
        </w:tc>
        <w:tc>
          <w:tcPr>
            <w:tcW w:type="dxa" w:w="2160"/>
          </w:tcPr>
          <w:p>
            <w:r/>
            <w:r>
              <w:t>3,000+元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2.3 服务流程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医生诊断评估 → 确定适应症类型</w:t>
        <w:br/>
        <w:t xml:space="preserve">       ↓</w:t>
        <w:br/>
        <w:t>患者签约疗程/服务包（费用付给圆爱康平台）</w:t>
        <w:br/>
        <w:t xml:space="preserve">       ↓</w:t>
        <w:br/>
        <w:t>设备交付 + 使用培训</w:t>
        <w:br/>
        <w:t xml:space="preserve">       ↓</w:t>
        <w:br/>
        <w:t>居家治疗（按方案执行）</w:t>
        <w:br/>
        <w:t xml:space="preserve">       ↓</w:t>
        <w:br/>
        <w:t>线上随访 + 数据跟踪</w:t>
        <w:br/>
        <w:t xml:space="preserve">       ↓</w:t>
        <w:br/>
        <w:t>疗程结束 → 复诊评估效果</w:t>
      </w:r>
    </w:p>
    <w:p>
      <w:pPr>
        <w:pStyle w:val="Heading3"/>
      </w:pPr>
      <w:r>
        <w:rPr>
          <w:color w:val="2D5F9E"/>
          <w:sz w:val="26"/>
        </w:rPr>
        <w:t>2.4 服务内容明细</w:t>
      </w:r>
    </w:p>
    <w:p>
      <w:pPr>
        <w:spacing w:after="120" w:line="312" w:lineRule="auto"/>
      </w:pPr>
      <w:r/>
      <w:r>
        <w:rPr>
          <w:b/>
        </w:rPr>
        <w:t>医疗服务（由医院提供）：</w:t>
      </w:r>
      <w:r/>
    </w:p>
    <w:p>
      <w:pPr>
        <w:pStyle w:val="ListBullet"/>
        <w:spacing w:after="60"/>
        <w:ind w:left="567"/>
      </w:pPr>
      <w:r>
        <w:t>消化科医生诊断评估</w:t>
      </w:r>
    </w:p>
    <w:p>
      <w:pPr>
        <w:pStyle w:val="ListBullet"/>
        <w:spacing w:after="60"/>
        <w:ind w:left="567"/>
      </w:pPr>
      <w:r>
        <w:t>治疗方案制定与审核</w:t>
      </w:r>
    </w:p>
    <w:p>
      <w:pPr>
        <w:pStyle w:val="ListBullet"/>
        <w:spacing w:after="60"/>
        <w:ind w:left="567"/>
      </w:pPr>
      <w:r>
        <w:t>参数调试与调整</w:t>
      </w:r>
    </w:p>
    <w:p>
      <w:pPr>
        <w:pStyle w:val="ListBullet"/>
        <w:spacing w:after="60"/>
        <w:ind w:left="567"/>
      </w:pPr>
      <w:r>
        <w:t>疗效评估与复诊</w:t>
      </w:r>
    </w:p>
    <w:p>
      <w:pPr>
        <w:spacing w:after="120" w:line="312" w:lineRule="auto"/>
      </w:pPr>
      <w:r/>
      <w:r>
        <w:rPr>
          <w:b/>
        </w:rPr>
        <w:t>居家管理服务（由圆爱康提供）：</w:t>
      </w:r>
      <w:r/>
    </w:p>
    <w:p>
      <w:pPr>
        <w:pStyle w:val="ListBullet"/>
        <w:spacing w:after="60"/>
        <w:ind w:left="567"/>
      </w:pPr>
      <w:r>
        <w:t>治疗设备租赁及使用培训</w:t>
      </w:r>
    </w:p>
    <w:p>
      <w:pPr>
        <w:pStyle w:val="ListBullet"/>
        <w:spacing w:after="60"/>
        <w:ind w:left="567"/>
      </w:pPr>
      <w:r>
        <w:t>健康管理师线上随访</w:t>
      </w:r>
    </w:p>
    <w:p>
      <w:pPr>
        <w:pStyle w:val="ListBullet"/>
        <w:spacing w:after="60"/>
        <w:ind w:left="567"/>
      </w:pPr>
      <w:r>
        <w:t>治疗效果数据跟踪</w:t>
      </w:r>
    </w:p>
    <w:p>
      <w:pPr>
        <w:pStyle w:val="ListBullet"/>
        <w:spacing w:after="60"/>
        <w:ind w:left="567"/>
      </w:pPr>
      <w:r>
        <w:t>设备物流配送与消毒维护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三、合作方式</w:t>
      </w:r>
    </w:p>
    <w:p>
      <w:pPr>
        <w:pStyle w:val="Heading3"/>
      </w:pPr>
      <w:r>
        <w:rPr>
          <w:color w:val="2D5F9E"/>
          <w:sz w:val="26"/>
        </w:rPr>
        <w:t>3.1 双方职责</w:t>
      </w:r>
    </w:p>
    <w:p>
      <w:pPr>
        <w:spacing w:after="120" w:line="312" w:lineRule="auto"/>
      </w:pPr>
      <w:r/>
      <w:r>
        <w:rPr>
          <w:b/>
        </w:rPr>
        <w:t>医院职责：</w:t>
      </w:r>
      <w:r/>
    </w:p>
    <w:p>
      <w:pPr>
        <w:pStyle w:val="ListBullet"/>
        <w:spacing w:after="60"/>
        <w:ind w:left="567"/>
      </w:pPr>
      <w:r>
        <w:t>提供诊疗资质和医疗安全主体</w:t>
      </w:r>
    </w:p>
    <w:p>
      <w:pPr>
        <w:pStyle w:val="ListBullet"/>
        <w:spacing w:after="60"/>
        <w:ind w:left="567"/>
      </w:pPr>
      <w:r>
        <w:t>安排消化科医生进行诊断、治疗处方开具、复诊评估</w:t>
      </w:r>
    </w:p>
    <w:p>
      <w:pPr>
        <w:pStyle w:val="ListBullet"/>
        <w:spacing w:after="60"/>
        <w:ind w:left="567"/>
      </w:pPr>
      <w:r>
        <w:t>提供场地用于患者培训和初期设备调试</w:t>
      </w:r>
    </w:p>
    <w:p>
      <w:pPr>
        <w:pStyle w:val="ListBullet"/>
        <w:spacing w:after="60"/>
        <w:ind w:left="567"/>
      </w:pPr>
      <w:r>
        <w:t>急症转诊通道</w:t>
      </w:r>
    </w:p>
    <w:p>
      <w:pPr>
        <w:spacing w:after="120" w:line="312" w:lineRule="auto"/>
      </w:pPr>
      <w:r/>
      <w:r>
        <w:rPr>
          <w:b/>
        </w:rPr>
        <w:t>圆爱康职责：</w:t>
      </w:r>
      <w:r/>
    </w:p>
    <w:p>
      <w:pPr>
        <w:pStyle w:val="ListBullet"/>
        <w:spacing w:after="60"/>
        <w:ind w:left="567"/>
      </w:pPr>
      <w:r>
        <w:t>全额投入治疗设备</w:t>
      </w:r>
    </w:p>
    <w:p>
      <w:pPr>
        <w:pStyle w:val="ListBullet"/>
        <w:spacing w:after="60"/>
        <w:ind w:left="567"/>
      </w:pPr>
      <w:r>
        <w:t>派驻健康管理团队</w:t>
      </w:r>
    </w:p>
    <w:p>
      <w:pPr>
        <w:pStyle w:val="ListBullet"/>
        <w:spacing w:after="60"/>
        <w:ind w:left="567"/>
      </w:pPr>
      <w:r>
        <w:t>耗材物料供应</w:t>
      </w:r>
    </w:p>
    <w:p>
      <w:pPr>
        <w:pStyle w:val="ListBullet"/>
        <w:spacing w:after="60"/>
        <w:ind w:left="567"/>
      </w:pPr>
      <w:r>
        <w:t>线上随访系统运营</w:t>
      </w:r>
    </w:p>
    <w:p>
      <w:pPr>
        <w:pStyle w:val="ListBullet"/>
        <w:spacing w:after="60"/>
        <w:ind w:left="567"/>
      </w:pPr>
      <w:r>
        <w:t>设备售后维护</w:t>
      </w:r>
    </w:p>
    <w:p>
      <w:pPr>
        <w:pStyle w:val="Heading3"/>
      </w:pPr>
      <w:r>
        <w:rPr>
          <w:color w:val="2D5F9E"/>
          <w:sz w:val="26"/>
        </w:rPr>
        <w:t>3.2 团队配置</w:t>
      </w:r>
    </w:p>
    <w:p>
      <w:pPr>
        <w:spacing w:after="120" w:line="312" w:lineRule="auto"/>
      </w:pPr>
      <w:r/>
      <w:r>
        <w:rPr>
          <w:b/>
        </w:rPr>
        <w:t>医院团队：</w:t>
      </w:r>
      <w:r/>
    </w:p>
    <w:p>
      <w:pPr>
        <w:pStyle w:val="ListBullet"/>
        <w:spacing w:after="60"/>
        <w:ind w:left="567"/>
      </w:pPr>
      <w:r>
        <w:t>消化主诊医师2-4名</w:t>
      </w:r>
    </w:p>
    <w:p>
      <w:pPr>
        <w:pStyle w:val="ListBullet"/>
        <w:spacing w:after="60"/>
        <w:ind w:left="567"/>
      </w:pPr>
      <w:r>
        <w:t>专科护士1-2名</w:t>
      </w:r>
    </w:p>
    <w:p>
      <w:pPr>
        <w:pStyle w:val="ListBullet"/>
        <w:spacing w:after="60"/>
        <w:ind w:left="567"/>
      </w:pPr>
      <w:r>
        <w:t>胃肠理疗师1-2名</w:t>
      </w:r>
    </w:p>
    <w:p>
      <w:pPr>
        <w:spacing w:after="120" w:line="312" w:lineRule="auto"/>
      </w:pPr>
      <w:r/>
      <w:r>
        <w:rPr>
          <w:b/>
        </w:rPr>
        <w:t>圆爱康团队：</w:t>
      </w:r>
      <w:r/>
    </w:p>
    <w:p>
      <w:pPr>
        <w:pStyle w:val="ListBullet"/>
        <w:spacing w:after="60"/>
        <w:ind w:left="567"/>
      </w:pPr>
      <w:r>
        <w:t>健康管理师3-5人</w:t>
      </w:r>
    </w:p>
    <w:p>
      <w:pPr>
        <w:pStyle w:val="ListBullet"/>
        <w:spacing w:after="60"/>
        <w:ind w:left="567"/>
      </w:pPr>
      <w:r>
        <w:t>营养师2-3人</w:t>
      </w:r>
    </w:p>
    <w:p>
      <w:pPr>
        <w:pStyle w:val="ListBullet"/>
        <w:spacing w:after="60"/>
        <w:ind w:left="567"/>
      </w:pPr>
      <w:r>
        <w:t>随访专员2人</w:t>
      </w:r>
    </w:p>
    <w:p>
      <w:pPr>
        <w:pStyle w:val="ListBullet"/>
        <w:spacing w:after="60"/>
        <w:ind w:left="567"/>
      </w:pPr>
      <w:r>
        <w:t>线上客服1人</w:t>
      </w:r>
    </w:p>
    <w:p>
      <w:pPr>
        <w:pStyle w:val="ListBullet"/>
        <w:spacing w:after="60"/>
        <w:ind w:left="567"/>
      </w:pPr>
      <w:r>
        <w:t>仓管1人</w:t>
      </w:r>
    </w:p>
    <w:p>
      <w:pPr>
        <w:pStyle w:val="Heading3"/>
      </w:pPr>
      <w:r>
        <w:rPr>
          <w:color w:val="2D5F9E"/>
          <w:sz w:val="26"/>
        </w:rPr>
        <w:t>3.3 费用结算</w:t>
      </w:r>
    </w:p>
    <w:p>
      <w:pPr>
        <w:spacing w:after="120" w:line="312" w:lineRule="auto"/>
      </w:pPr>
      <w:r/>
      <w:r>
        <w:rPr>
          <w:b/>
        </w:rPr>
        <w:t>结算模式：</w:t>
      </w:r>
      <w:r/>
    </w:p>
    <w:p>
      <w:pPr>
        <w:pStyle w:val="ListBullet"/>
        <w:spacing w:after="60"/>
        <w:ind w:left="567"/>
      </w:pPr>
      <w:r>
        <w:t>患者费用统一由圆爱康平台收取</w:t>
      </w:r>
    </w:p>
    <w:p>
      <w:pPr>
        <w:pStyle w:val="ListBullet"/>
        <w:spacing w:after="60"/>
        <w:ind w:left="567"/>
      </w:pPr>
      <w:r>
        <w:t>圆爱康向医院购买医疗服务（诊断评估、处方制定、复诊评估等）</w:t>
      </w:r>
    </w:p>
    <w:p>
      <w:pPr>
        <w:pStyle w:val="ListBullet"/>
        <w:spacing w:after="60"/>
        <w:ind w:left="567"/>
      </w:pPr>
      <w:r>
        <w:t>双方按月对账结算</w:t>
      </w:r>
    </w:p>
    <w:p>
      <w:pPr>
        <w:spacing w:after="120" w:line="312" w:lineRule="auto"/>
      </w:pPr>
      <w:r/>
      <w:r>
        <w:rPr>
          <w:b/>
        </w:rPr>
        <w:t>资金流向：</w:t>
      </w:r>
      <w:r/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患者 → 圆爱康平台（统一收款）</w:t>
        <w:br/>
        <w:t xml:space="preserve">       ↓</w:t>
        <w:br/>
        <w:t>圆爱康向医院支付医疗服务采购费用</w:t>
        <w:br/>
        <w:t xml:space="preserve">       ↓</w:t>
        <w:br/>
        <w:t>医院提供：医生诊疗、处方、复诊</w:t>
        <w:br/>
        <w:t>圆爱康提供：设备、随访、数据管理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四、治疗设备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圆小汫（生物反馈电刺激治疗仪）</w:t>
            </w:r>
          </w:p>
        </w:tc>
        <w:tc>
          <w:tcPr>
            <w:tcW w:type="dxa" w:w="2880"/>
          </w:tcPr>
          <w:p>
            <w:r/>
            <w:r>
              <w:t>出口梗阻性便秘</w:t>
            </w:r>
          </w:p>
        </w:tc>
        <w:tc>
          <w:tcPr>
            <w:tcW w:type="dxa" w:w="2880"/>
          </w:tcPr>
          <w:p>
            <w:r/>
            <w:r>
              <w:t>圆爱康自研，居家使用，操作简便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胃肠起搏治疗仪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慢传输型便秘、GERD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合作厂家设备，体表无创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五、预期成效</w:t>
      </w:r>
    </w:p>
    <w:p>
      <w:pPr>
        <w:pStyle w:val="ListBullet"/>
        <w:spacing w:after="60"/>
        <w:ind w:left="567"/>
      </w:pPr>
      <w:r>
        <w:t>填补反流/便秘患者居家物理康复的空白</w:t>
      </w:r>
    </w:p>
    <w:p>
      <w:pPr>
        <w:pStyle w:val="ListBullet"/>
        <w:spacing w:after="60"/>
        <w:ind w:left="567"/>
      </w:pPr>
      <w:r>
        <w:t>完善消化科延续性医疗服务体系</w:t>
      </w:r>
    </w:p>
    <w:p>
      <w:pPr>
        <w:pStyle w:val="ListBullet"/>
        <w:spacing w:after="60"/>
        <w:ind w:left="567"/>
      </w:pPr>
      <w:r>
        <w:t>降低患者复发率和再就诊率</w:t>
      </w:r>
    </w:p>
    <w:p>
      <w:pPr>
        <w:pStyle w:val="ListBullet"/>
        <w:spacing w:after="60"/>
        <w:ind w:left="567"/>
      </w:pPr>
      <w:r>
        <w:t>提升医院消化科服务内涵和患者满意度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本方案由广州圆爱康生物科技有限公司编制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具体合作细节可根据医院实际情况协商确定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