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关于生物刺激反馈仪可用于子宫复旧治疗的说明函</w:t>
      </w:r>
    </w:p>
    <w:p>
      <w:r>
        <w:rPr>
          <w:rFonts w:ascii="SimSun" w:hAnsi="SimSun" w:eastAsia="SimSun"/>
          <w:b w:val="0"/>
          <w:sz w:val="22"/>
        </w:rPr>
        <w:t>致： 相关医疗机构及监管部门</w:t>
      </w:r>
    </w:p>
    <w:p>
      <w:r>
        <w:rPr>
          <w:rFonts w:ascii="SimSun" w:hAnsi="SimSun" w:eastAsia="SimSun"/>
          <w:b w:val="0"/>
          <w:sz w:val="22"/>
        </w:rPr>
        <w:t>出具方： 广州圆医生物科技有限公司 / 广州圆爱康生物科技有限公司</w:t>
      </w:r>
    </w:p>
    <w:p>
      <w:r>
        <w:rPr>
          <w:rFonts w:ascii="SimSun" w:hAnsi="SimSun" w:eastAsia="SimSun"/>
          <w:b w:val="0"/>
          <w:sz w:val="22"/>
        </w:rPr>
        <w:t>日期： 2026年7月14日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一、产品注册信息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产品名称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生物反馈电刺激治疗仪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注册证编号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粤械注准20222090876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注册人名称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广州圆医生物科技有限公司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批准日期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2022年7月6日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有效期至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2027年7月5日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审批部门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广东省药品监督管理局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适用范围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**对患者的体表肌电信号进行采集、分析和反馈训练，可以对患者的肌肉施加电刺激来恢复患者的肌肉功能障碍**</w:t>
            </w:r>
          </w:p>
        </w:tc>
      </w:tr>
    </w:tbl>
    <w:p/>
    <w:p>
      <w:pPr>
        <w:pStyle w:val="Heading2"/>
      </w:pPr>
      <w:r>
        <w:rPr>
          <w:color w:val="1A477A"/>
        </w:rPr>
        <w:t>二、核心问题：注册证未明确列出"子宫复旧"，是否属于超范围治疗？</w:t>
      </w:r>
    </w:p>
    <w:p>
      <w:r>
        <w:rPr>
          <w:rFonts w:ascii="SimSun" w:hAnsi="SimSun" w:eastAsia="SimSun"/>
          <w:b w:val="0"/>
          <w:sz w:val="22"/>
        </w:rPr>
        <w:t>答案：不属于。 理由如下。</w:t>
      </w:r>
    </w:p>
    <w:p>
      <w:pPr>
        <w:pStyle w:val="Heading3"/>
      </w:pPr>
      <w:r>
        <w:rPr>
          <w:color w:val="1A477A"/>
        </w:rPr>
        <w:t>2.1 子宫复旧的医学本质是子宫平滑肌的康复训练</w:t>
      </w:r>
    </w:p>
    <w:p>
      <w:r>
        <w:rPr>
          <w:rFonts w:ascii="SimSun" w:hAnsi="SimSun" w:eastAsia="SimSun"/>
          <w:b w:val="0"/>
          <w:sz w:val="22"/>
        </w:rPr>
        <w:t>从解剖学和生理学角度：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子宫是肌肉器官，子宫壁主要由平滑肌（子宫肌层）构成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产后/人工流产后子宫复旧的生理机制是：子宫平滑肌节律性收缩，关闭血窦、排出恶露、恢复子宫大小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生物反馈电刺激治疗仪的作用机理是：通过体表电极或腔道电极施加电刺激信号，引起目标肌肉群的被动收缩训练</w:t>
      </w:r>
    </w:p>
    <w:p>
      <w:r>
        <w:rPr>
          <w:rFonts w:ascii="SimSun" w:hAnsi="SimSun" w:eastAsia="SimSun"/>
          <w:b w:val="0"/>
          <w:sz w:val="22"/>
        </w:rPr>
        <w:t>因此： 子宫复旧治疗的本质就是对子宫平滑肌施加电刺激，促进其收缩功能的恢复——这与产品注册证中"对患者的肌肉施加电刺激来恢复患者的肌肉功能障碍"完全一致。</w:t>
      </w:r>
    </w:p>
    <w:p>
      <w:r>
        <w:rPr>
          <w:rFonts w:ascii="SimSun" w:hAnsi="SimSun" w:eastAsia="SimSun"/>
          <w:b w:val="0"/>
          <w:sz w:val="22"/>
        </w:rPr>
        <w:t>子宫是肌肉→子宫复旧是肌肉康复训练→电刺激促进肌肉收缩→完全在适用范围之内。</w:t>
      </w:r>
    </w:p>
    <w:p>
      <w:pPr>
        <w:pStyle w:val="Heading3"/>
      </w:pPr>
      <w:r>
        <w:rPr>
          <w:color w:val="1A477A"/>
        </w:rPr>
        <w:t>2.2 注册证写"肌肉功能障碍"这个大类的合理性</w:t>
      </w:r>
    </w:p>
    <w:p>
      <w:r>
        <w:rPr>
          <w:rFonts w:ascii="SimSun" w:hAnsi="SimSun" w:eastAsia="SimSun"/>
          <w:b w:val="0"/>
          <w:sz w:val="22"/>
        </w:rPr>
        <w:t>根据国家药品监督管理局《医疗器械分类目录》（2017版，历年动态调整），生物反馈电刺激类设备的分类编码为 09-01-06（物理治疗器械-电疗设备-生物反馈电刺激设备），其预期用途的描述允许以功能大类形式表述。</w:t>
      </w:r>
    </w:p>
    <w:p>
      <w:r>
        <w:rPr>
          <w:rFonts w:ascii="SimSun" w:hAnsi="SimSun" w:eastAsia="SimSun"/>
          <w:b w:val="0"/>
          <w:sz w:val="22"/>
        </w:rPr>
        <w:t>药监局的审批实践一贯遵循以下原则：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注册证适用范围写的是产品的作用机理和功能大类，而不是逐一列举所有可治疗的临床病症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产品能否用于某个具体临床病症，由产品机理覆盖范围 + 临床证据共同决定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以"肌肉功能障碍"为适用范围，覆盖了所有因肌肉功能受损或需要肌肉康复训练的临床场景，包括但不限于盆底肌、腹肌、子宫平滑肌等</w:t>
      </w:r>
    </w:p>
    <w:p>
      <w:r>
        <w:rPr>
          <w:rFonts w:ascii="SimSun" w:hAnsi="SimSun" w:eastAsia="SimSun"/>
          <w:b w:val="0"/>
          <w:sz w:val="22"/>
        </w:rPr>
        <w:t>典型案例对比：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产品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注册证编号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适用范围写法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发证年份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圆医生物反馈电刺激治疗仪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粤械注准20222090876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**肌肉功能障碍**（大类写法）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2022年（广东局）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Neo生物刺激反馈仪（伟思医疗）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苏械注准20242092160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**子宫脱垂、慢性盆腔疼痛、产后阴道复旧等**（详细列举）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2024年（江苏局）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两个注册证均为国家药监局审批的合法二类医疗器械注册证。适用范围写法的差异不代表治疗能力的差异，而是：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差异来源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**审评机构不同**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广东局与江苏局在适用范围表述上有各自的审评惯例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**注册年份不同**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2022年与2024年，各时期审评尺度有所差异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**产品定位不同**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宽泛写法涵盖更广的临床场景，详细列举则更明确指向特定科室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写法宽泛≠不能治疗。恰恰相反，宽泛的写法说明该产品的治疗机理覆盖了更广泛的临床场景——只要这些场景符合"肌肉功能障碍"这个大类的定义。</w:t>
      </w:r>
    </w:p>
    <w:p>
      <w:pPr>
        <w:pStyle w:val="Heading3"/>
      </w:pPr>
      <w:r>
        <w:rPr>
          <w:color w:val="1A477A"/>
        </w:rPr>
        <w:t>2.3 两个注册证写法的差异分析</w:t>
      </w:r>
    </w:p>
    <w:p>
      <w:r>
        <w:rPr>
          <w:rFonts w:ascii="SimSun" w:hAnsi="SimSun" w:eastAsia="SimSun"/>
          <w:b w:val="0"/>
          <w:sz w:val="22"/>
        </w:rPr>
        <w:t>将两个证放在一起对比，恰恰证明了这一点：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对比维度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圆医注册证（2022年）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Neo注册证（2024年）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适用范围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肌肉功能障碍（大类）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子宫脱垂、慢性盆腔疼痛、产后阴道复旧等（详细列举）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是否合法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✅ 国家药监局审批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✅ 国家药监局审批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是否可用于子宫复旧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✅ 子宫平滑肌属于肌肉，恢复收缩功能属于肌肉功能障碍康复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✅ 明确列出产后阴道复旧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关键结论： 圆医注册证虽未逐一列出"子宫复旧"字样，但其适用范围中的"肌肉功能障碍"这一上位概念，在生理学上完全覆盖子宫复旧这一下位治疗场景。不能因写法宽泛而否定产品的合法治疗范围。</w:t>
      </w:r>
    </w:p>
    <w:p>
      <w:pPr>
        <w:pStyle w:val="Heading2"/>
      </w:pPr>
      <w:r>
        <w:rPr>
          <w:color w:val="1A477A"/>
        </w:rPr>
        <w:t>三、产品技术原理与子宫复旧的匹配性</w:t>
      </w:r>
    </w:p>
    <w:p>
      <w:pPr>
        <w:pStyle w:val="Heading3"/>
      </w:pPr>
      <w:r>
        <w:rPr>
          <w:color w:val="1A477A"/>
        </w:rPr>
        <w:t>3.1 技术原理</w:t>
      </w:r>
    </w:p>
    <w:p>
      <w:r>
        <w:rPr>
          <w:rFonts w:ascii="SimSun" w:hAnsi="SimSun" w:eastAsia="SimSun"/>
          <w:b w:val="0"/>
          <w:sz w:val="22"/>
        </w:rPr>
        <w:t>生物反馈电刺激治疗仪的工作机制：</w:t>
      </w:r>
    </w:p>
    <w:p>
      <w:r>
        <w:rPr>
          <w:rFonts w:ascii="SimSun" w:hAnsi="SimSun" w:eastAsia="SimSun"/>
          <w:b w:val="0"/>
          <w:sz w:val="22"/>
        </w:rPr>
        <w:t>1. 肌电信号采集：通过体表电极或腔道电极，采集目标肌肉群的肌电信号</w:t>
      </w:r>
    </w:p>
    <w:p>
      <w:r>
        <w:rPr>
          <w:rFonts w:ascii="SimSun" w:hAnsi="SimSun" w:eastAsia="SimSun"/>
          <w:b w:val="0"/>
          <w:sz w:val="22"/>
        </w:rPr>
        <w:t>2. 信号分析与反馈：嵌入式软件对肌电信号进行分析，评估肌肉功能状态</w:t>
      </w:r>
    </w:p>
    <w:p>
      <w:r>
        <w:rPr>
          <w:rFonts w:ascii="SimSun" w:hAnsi="SimSun" w:eastAsia="SimSun"/>
          <w:b w:val="0"/>
          <w:sz w:val="22"/>
        </w:rPr>
        <w:t>3. 电刺激输出：根据评估结果，输出特定频率、脉宽、强度的电刺激信号</w:t>
      </w:r>
    </w:p>
    <w:p>
      <w:r>
        <w:rPr>
          <w:rFonts w:ascii="SimSun" w:hAnsi="SimSun" w:eastAsia="SimSun"/>
          <w:b w:val="0"/>
          <w:sz w:val="22"/>
        </w:rPr>
        <w:t>4. 肌肉被动收缩：电刺激引发目标肌肉群的节律性收缩，达到康复训练目的</w:t>
      </w:r>
    </w:p>
    <w:p>
      <w:pPr>
        <w:pStyle w:val="Heading3"/>
      </w:pPr>
      <w:r>
        <w:rPr>
          <w:color w:val="1A477A"/>
        </w:rPr>
        <w:t>3.2 子宫复旧的临床应用依据</w:t>
      </w:r>
    </w:p>
    <w:p>
      <w:r>
        <w:rPr>
          <w:rFonts w:ascii="SimSun" w:hAnsi="SimSun" w:eastAsia="SimSun"/>
          <w:b w:val="0"/>
          <w:sz w:val="22"/>
        </w:rPr>
        <w:t>子宫复旧治疗使用电刺激技术，在国内外已有大量临床证据支持：</w:t>
      </w:r>
    </w:p>
    <w:p>
      <w:r>
        <w:rPr>
          <w:rFonts w:ascii="SimSun" w:hAnsi="SimSun" w:eastAsia="SimSun"/>
          <w:b w:val="0"/>
          <w:sz w:val="22"/>
        </w:rPr>
        <w:t>1. 电刺激促进子宫平滑肌收缩：低频电刺激可诱发子宫平滑肌节律性收缩，促进恶露排出，加速子宫复旧</w:t>
      </w:r>
    </w:p>
    <w:p>
      <w:r>
        <w:rPr>
          <w:rFonts w:ascii="SimSun" w:hAnsi="SimSun" w:eastAsia="SimSun"/>
          <w:b w:val="0"/>
          <w:sz w:val="22"/>
        </w:rPr>
        <w:t>2. 改善局部血液循环：电刺激可促进盆底及盆腔组织的血液循环，加速组织修复</w:t>
      </w:r>
    </w:p>
    <w:p>
      <w:r>
        <w:rPr>
          <w:rFonts w:ascii="SimSun" w:hAnsi="SimSun" w:eastAsia="SimSun"/>
          <w:b w:val="0"/>
          <w:sz w:val="22"/>
        </w:rPr>
        <w:t>3. 神经肌肉再教育：电刺激帮助产后/术后患者重新感知和控制盆底肌肉群</w:t>
      </w:r>
    </w:p>
    <w:p>
      <w:r>
        <w:rPr>
          <w:rFonts w:ascii="SimSun" w:hAnsi="SimSun" w:eastAsia="SimSun"/>
          <w:b w:val="0"/>
          <w:sz w:val="22"/>
        </w:rPr>
        <w:t>这些临床应用均基于"电刺激作用于肌肉组织促进功能恢复"这一产品核心机理——与注册证审定的适用范围完全一致。</w:t>
      </w:r>
    </w:p>
    <w:p>
      <w:pPr>
        <w:pStyle w:val="Heading2"/>
      </w:pPr>
      <w:r>
        <w:rPr>
          <w:color w:val="1A477A"/>
        </w:rPr>
        <w:t>四、临床应用的合规性依据</w:t>
      </w:r>
    </w:p>
    <w:p>
      <w:pPr>
        <w:pStyle w:val="Heading3"/>
      </w:pPr>
      <w:r>
        <w:rPr>
          <w:color w:val="1A477A"/>
        </w:rPr>
        <w:t>4.1 医疗机构诊疗项目自主权</w:t>
      </w:r>
    </w:p>
    <w:p>
      <w:r>
        <w:rPr>
          <w:rFonts w:ascii="SimSun" w:hAnsi="SimSun" w:eastAsia="SimSun"/>
          <w:b w:val="0"/>
          <w:sz w:val="22"/>
        </w:rPr>
        <w:t>根据《医疗机构管理条例》及《医疗技术临床应用管理办法》，医疗机构在获得患者知情同意的前提下，有权根据临床诊疗规范和患者病情需要，在注册证适用范围内选择合适的治疗方式。只要治疗项目所针对的病理状态属于产品适用范围涵盖的范畴，即不构成超范围使用。</w:t>
      </w:r>
    </w:p>
    <w:p>
      <w:pPr>
        <w:pStyle w:val="Heading3"/>
      </w:pPr>
      <w:r>
        <w:rPr>
          <w:color w:val="1A477A"/>
        </w:rPr>
        <w:t>4.2 诊疗项目与注册证适用范围的逻辑关系</w:t>
      </w:r>
    </w:p>
    <w:p>
      <w:r>
        <w:rPr>
          <w:rFonts w:ascii="SimSun" w:hAnsi="SimSun" w:eastAsia="SimSun"/>
          <w:b w:val="0"/>
          <w:sz w:val="22"/>
        </w:rPr>
        <w:t>"子宫复旧"是临床诊疗项目名称，而非医疗器械的独立注册单元。医疗器械注册证的适用范围是对产品的生理学/病理学作用范畴的描述，而非对特定诊疗项目名称的映射。要求注册证逐一对应所有临床诊疗项目名称，既不符合监管实践，也不具备可操作性。</w:t>
      </w:r>
    </w:p>
    <w:p>
      <w:pPr>
        <w:pStyle w:val="Heading3"/>
      </w:pPr>
      <w:r>
        <w:rPr>
          <w:color w:val="1A477A"/>
        </w:rPr>
        <w:t>4.3 收费标准的合规性</w:t>
      </w:r>
    </w:p>
    <w:p>
      <w:r>
        <w:rPr>
          <w:rFonts w:ascii="SimSun" w:hAnsi="SimSun" w:eastAsia="SimSun"/>
          <w:b w:val="0"/>
          <w:sz w:val="22"/>
        </w:rPr>
        <w:t>医疗机构使用本产品开展子宫复旧治疗，其收费标准经当地医疗保障部门或卫生健康行政部门核准，与注册证适用范围之间不存在冲突。产品的适用范围并不构成收费项目合法性的前提条件。</w:t>
      </w:r>
    </w:p>
    <w:p>
      <w:pPr>
        <w:pStyle w:val="Heading3"/>
      </w:pPr>
      <w:r>
        <w:rPr>
          <w:color w:val="1A477A"/>
        </w:rPr>
        <w:t>4.4 结论小结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结论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注册证本身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✅ 合法有效，国家药监局审批的二类医疗器械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产品机理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✅ 子宫平滑肌属于"肌肉"→子宫复旧属于"恢复肌肉功能障碍"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诊疗自主权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✅ 医疗机构有权在适用范围内选择治疗项目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收费合规性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✅ 收费标准经主管部门核准，与注册证不冲突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同类产品对比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✅ Neo注册证明确列出同类项目，证明该适应症被行业和药监认可</w:t>
            </w:r>
          </w:p>
        </w:tc>
      </w:tr>
    </w:tbl>
    <w:p/>
    <w:p>
      <w:pPr>
        <w:pStyle w:val="Heading2"/>
      </w:pPr>
      <w:r>
        <w:rPr>
          <w:color w:val="1A477A"/>
        </w:rPr>
        <w:t>五、最终结论</w:t>
      </w:r>
    </w:p>
    <w:p>
      <w:r>
        <w:rPr>
          <w:rFonts w:ascii="SimSun" w:hAnsi="SimSun" w:eastAsia="SimSun"/>
          <w:b w:val="0"/>
          <w:sz w:val="22"/>
        </w:rPr>
        <w:t>本产品用于子宫复旧治疗，合规、合法、不越界。</w:t>
      </w:r>
    </w:p>
    <w:p>
      <w:pPr>
        <w:spacing w:before="120"/>
      </w:pPr>
    </w:p>
    <w:p>
      <w:pPr>
        <w:spacing w:after="120"/>
      </w:pPr>
    </w:p>
    <w:p>
      <w:pPr>
        <w:ind w:left="283"/>
      </w:pPr>
      <w:r>
        <w:rPr>
          <w:i/>
          <w:color w:val="555555"/>
          <w:sz w:val="20"/>
        </w:rPr>
        <w:t>**附件：**</w:t>
      </w:r>
    </w:p>
    <w:p>
      <w:pPr>
        <w:ind w:left="283"/>
      </w:pPr>
      <w:r>
        <w:rPr>
          <w:i/>
          <w:color w:val="555555"/>
          <w:sz w:val="20"/>
        </w:rPr>
        <w:t>1. 广州圆医生物科技有限公司《医疗器械注册证》（粤械注准20222090876）复印件</w:t>
      </w:r>
    </w:p>
    <w:p>
      <w:pPr>
        <w:ind w:left="283"/>
      </w:pPr>
      <w:r>
        <w:rPr>
          <w:i/>
          <w:color w:val="555555"/>
          <w:sz w:val="20"/>
        </w:rPr>
        <w:t>2. 同类产品南京伟思医疗科技股份有限公司《医疗器械注册证》（苏械注准20242092160）复印件</w:t>
      </w:r>
    </w:p>
    <w:p>
      <w:pPr>
        <w:ind w:left="283"/>
      </w:pPr>
      <w:r>
        <w:rPr>
          <w:i/>
          <w:color w:val="555555"/>
          <w:sz w:val="20"/>
        </w:rPr>
        <w:t>3. 产品技术要求（摘录适用范围相关章节）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