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6" w:name="圆爱康居家康复-政策法规速查工具销售随身带"/>
    <w:p>
      <w:pPr>
        <w:pStyle w:val="Heading1"/>
      </w:pPr>
      <w:r>
        <w:t xml:space="preserve">圆爱康居家康复 · 政策法规速查工具（销售随身带）</w:t>
      </w:r>
    </w:p>
    <w:p>
      <w:pPr>
        <w:pStyle w:val="BlockText"/>
      </w:pPr>
      <w:r>
        <w:t xml:space="preserve">用途：医院问到什么问题，翻到对应政策，拿出依据。解决”合规/收费/越界”的疑问。</w:t>
      </w:r>
      <w:r>
        <w:t xml:space="preserve"> </w:t>
      </w:r>
      <w:r>
        <w:t xml:space="preserve">用法：按”医院会问什么”→</w:t>
      </w:r>
      <w:r>
        <w:t xml:space="preserve">“</w:t>
      </w:r>
      <w:r>
        <w:t xml:space="preserve">对应给哪份政策</w:t>
      </w:r>
      <w:r>
        <w:t xml:space="preserve">”</w:t>
      </w:r>
      <w:r>
        <w:t xml:space="preserve">查找。★=必带在身上。</w:t>
      </w:r>
      <w:r>
        <w:t xml:space="preserve"> </w:t>
      </w:r>
      <w:r>
        <w:t xml:space="preserve">版本：v1.0 · 2026-08-06 小鲸鱼整理（政策全文经政府网/官方源核实）</w:t>
      </w:r>
    </w:p>
    <w:p>
      <w:r>
        <w:pict>
          <v:rect style="width:0;height:1.5pt" o:hralign="center" o:hrstd="t" o:hr="t"/>
        </w:pict>
      </w:r>
    </w:p>
    <w:bookmarkStart w:id="20" w:name="一医院最常问的3个问题-快速定位"/>
    <w:p>
      <w:pPr>
        <w:pStyle w:val="Heading2"/>
      </w:pPr>
      <w:r>
        <w:t xml:space="preserve">一、医院最常问的3个问题 → 快速定位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004"/>
        <w:gridCol w:w="2457"/>
        <w:gridCol w:w="245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医院可能问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对应政策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关键依据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居家康复是不是国家主张？做什么合法？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居家康复政策递进清单（见二）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国卫医发〔2021〕19号 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你们服务包怎么收费？凭什么自主定价？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自主定价收费依据（见三）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医保发〔2019〕47号 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医院开方/我们配合，会不会越界？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诊疗与越界红线（见四）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互联网诊疗管理办法 25号 ★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二居家康复的政策递进一段话讲给医院"/>
    <w:p>
      <w:pPr>
        <w:pStyle w:val="Heading2"/>
      </w:pPr>
      <w:r>
        <w:t xml:space="preserve">二、居家康复的政策递进（★一段话讲给医院）</w:t>
      </w:r>
    </w:p>
    <w:p>
      <w:pPr>
        <w:pStyle w:val="BlockText"/>
      </w:pPr>
      <w:r>
        <w:t xml:space="preserve">递进逻辑：顶层奠基 → 方向明确 → 持续扩大。讲给领导听最有说服力。</w:t>
      </w:r>
    </w:p>
    <w:p>
      <w:pPr>
        <w:pStyle w:val="FirstParagraph"/>
      </w:pPr>
      <w:r>
        <w:rPr>
          <w:bCs/>
          <w:b/>
        </w:rPr>
        <w:t xml:space="preserve">2018 · 奠基：互联网+医疗健康</w:t>
      </w:r>
      <w:r>
        <w:t xml:space="preserve"> </w:t>
      </w:r>
      <w:r>
        <w:t xml:space="preserve">- 国办发〔2018〕26号《关于促进”互联网+医疗健康”发展的意见》——顶层设计，鼓励互联网+医疗服务</w:t>
      </w:r>
    </w:p>
    <w:p>
      <w:pPr>
        <w:pStyle w:val="BodyText"/>
      </w:pPr>
      <w:r>
        <w:rPr>
          <w:bCs/>
          <w:b/>
        </w:rPr>
        <w:t xml:space="preserve">2019 · 起步：互联网+护理服务试点（广东首批）</w:t>
      </w:r>
      <w:r>
        <w:t xml:space="preserve"> </w:t>
      </w:r>
      <w:r>
        <w:t xml:space="preserve">- 国卫办医函〔2019〕80号《关于开展”互联网+护理服务”试点工作的通知》——北京、天津、上海、江苏、浙江、</w:t>
      </w:r>
      <w:r>
        <w:rPr>
          <w:bCs/>
          <w:b/>
        </w:rPr>
        <w:t xml:space="preserve">广东</w:t>
      </w:r>
      <w:r>
        <w:t xml:space="preserve">首批试点；</w:t>
      </w:r>
      <w:r>
        <w:t xml:space="preserve">“</w:t>
      </w:r>
      <w:r>
        <w:t xml:space="preserve">发挥市场议价机制</w:t>
      </w:r>
      <w:r>
        <w:t xml:space="preserve">”</w:t>
      </w:r>
      <w:r>
        <w:t xml:space="preserve"> </w:t>
      </w:r>
      <w:r>
        <w:t xml:space="preserve">- 国卫办医函〔2020〕985号——试点扩至全国</w:t>
      </w:r>
    </w:p>
    <w:p>
      <w:pPr>
        <w:pStyle w:val="BodyText"/>
      </w:pPr>
      <w:r>
        <w:rPr>
          <w:bCs/>
          <w:b/>
        </w:rPr>
        <w:t xml:space="preserve">2021 · 明确：康复医疗延伸到居家（最关键）★</w:t>
      </w:r>
      <w:r>
        <w:t xml:space="preserve"> </w:t>
      </w:r>
      <w:r>
        <w:t xml:space="preserve">- 国卫医发〔2021〕19号《关于加快推进康复医疗工作发展的意见》——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（六）以基层医疗机构为依托，鼓励积极开展</w:t>
      </w:r>
      <w:r>
        <w:rPr>
          <w:bCs/>
          <w:b/>
        </w:rPr>
        <w:t xml:space="preserve">社区和居家康复医疗服务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（十五）</w:t>
      </w:r>
      <w:r>
        <w:rPr>
          <w:bCs/>
          <w:b/>
        </w:rPr>
        <w:t xml:space="preserve">积极发展社区和居家康复医疗</w:t>
      </w:r>
      <w:r>
        <w:t xml:space="preserve">……鼓励有条件的医疗机构通过</w:t>
      </w:r>
      <w:r>
        <w:rPr>
          <w:bCs/>
          <w:b/>
        </w:rPr>
        <w:t xml:space="preserve">‘</w:t>
      </w:r>
      <w:r>
        <w:rPr>
          <w:bCs/>
          <w:b/>
        </w:rPr>
        <w:t xml:space="preserve">互联网+</w:t>
      </w:r>
      <w:r>
        <w:rPr>
          <w:bCs/>
          <w:b/>
        </w:rPr>
        <w:t xml:space="preserve">’</w:t>
      </w:r>
      <w:r>
        <w:rPr>
          <w:bCs/>
          <w:b/>
        </w:rPr>
        <w:t xml:space="preserve">、家庭病床、上门巡诊</w:t>
      </w:r>
      <w:r>
        <w:t xml:space="preserve">等方式将机构内康复医疗服务延伸至社区和居家……提供</w:t>
      </w:r>
      <w:r>
        <w:rPr>
          <w:bCs/>
          <w:b/>
        </w:rPr>
        <w:t xml:space="preserve">居家康复医疗、日间康复训练、康复指导</w:t>
      </w:r>
      <w:r>
        <w:t xml:space="preserve">等服务</w:t>
      </w:r>
      <w:r>
        <w:t xml:space="preserve">”</w:t>
      </w:r>
      <w:r>
        <w:t xml:space="preserve"> </w:t>
      </w:r>
      <w:r>
        <w:t xml:space="preserve">- 这就是居家康复服务包最直接的政策依据</w:t>
      </w:r>
    </w:p>
    <w:p>
      <w:pPr>
        <w:pStyle w:val="BodyText"/>
      </w:pPr>
      <w:r>
        <w:rPr>
          <w:bCs/>
          <w:b/>
        </w:rPr>
        <w:t xml:space="preserve">2023-2024 · 持续：护理改善 + 医养结合 + 服务消费</w:t>
      </w:r>
      <w:r>
        <w:t xml:space="preserve"> </w:t>
      </w:r>
      <w:r>
        <w:t xml:space="preserve">- 国卫医政发〔2023〕16号《进一步改善护理服务行动计划(2023-2025)》</w:t>
      </w:r>
      <w:r>
        <w:t xml:space="preserve"> </w:t>
      </w:r>
      <w:r>
        <w:t xml:space="preserve">- 国卫办老龄发〔2023〕18号《居家和社区医养结合服务指南(试行)》</w:t>
      </w:r>
      <w:r>
        <w:t xml:space="preserve"> </w:t>
      </w:r>
      <w:r>
        <w:t xml:space="preserve">- 国卫老龄发〔2024〕40号《关于促进医养结合服务高质量发展的指导意见》</w:t>
      </w:r>
      <w:r>
        <w:t xml:space="preserve"> </w:t>
      </w:r>
      <w:r>
        <w:t xml:space="preserve">- 国发〔2024〕18号《国务院关于促进服务消费高质量发展的意见》(健康/康复服务消费)</w:t>
      </w:r>
    </w:p>
    <w:p>
      <w:pPr>
        <w:pStyle w:val="BodyText"/>
      </w:pPr>
      <w:r>
        <w:rPr>
          <w:bCs/>
          <w:b/>
        </w:rPr>
        <w:t xml:space="preserve">一句话给医院：</w:t>
      </w:r>
      <w:r>
        <w:t xml:space="preserve"> </w:t>
      </w:r>
      <w:r>
        <w:t xml:space="preserve">&gt;</w:t>
      </w:r>
      <w:r>
        <w:t xml:space="preserve"> </w:t>
      </w:r>
      <w:r>
        <w:t xml:space="preserve">“</w:t>
      </w:r>
      <w:r>
        <w:t xml:space="preserve">居家康复不是哪一年冒出来的，是2018年顶层设计、2019年护理试点、2021年康复医疗明确延伸居家、到2024年医养结合持续加码——</w:t>
      </w:r>
      <w:r>
        <w:rPr>
          <w:bCs/>
          <w:b/>
        </w:rPr>
        <w:t xml:space="preserve">国家一整套政策链，走到今天，居家康复已经是必然落点</w:t>
      </w:r>
      <w:r>
        <w:t xml:space="preserve">。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21"/>
    <w:bookmarkStart w:id="27" w:name="三自主定价收费依据医院问凭什么收费的关键"/>
    <w:p>
      <w:pPr>
        <w:pStyle w:val="Heading2"/>
      </w:pPr>
      <w:r>
        <w:t xml:space="preserve">三、自主定价收费依据（★医院问”凭什么收费”的关键）</w:t>
      </w:r>
    </w:p>
    <w:bookmarkStart w:id="22" w:name="问题服务包自费能不能自主定价"/>
    <w:p>
      <w:pPr>
        <w:pStyle w:val="Heading3"/>
      </w:pPr>
      <w:r>
        <w:t xml:space="preserve">问题：服务包自费，能不能自主定价？</w:t>
      </w:r>
    </w:p>
    <w:p>
      <w:pPr>
        <w:pStyle w:val="FirstParagraph"/>
      </w:pPr>
      <w:r>
        <w:rPr>
          <w:bCs/>
          <w:b/>
        </w:rPr>
        <w:t xml:space="preserve">结论：可以。有明确政策依据。分两种主体讲：</w:t>
      </w:r>
    </w:p>
    <w:bookmarkEnd w:id="22"/>
    <w:bookmarkStart w:id="23" w:name="情况a-若以第三方非公立角度"/>
    <w:p>
      <w:pPr>
        <w:pStyle w:val="Heading3"/>
      </w:pPr>
      <w:r>
        <w:t xml:space="preserve">情况A · 若以第三方/非公立角度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医保发〔2019〕47号</w:t>
      </w:r>
      <w:r>
        <w:t xml:space="preserve">《关于完善”互联网+“医疗服务价格和医保支付政策的指导意见》</w:t>
      </w:r>
    </w:p>
    <w:p>
      <w:pPr>
        <w:numPr>
          <w:ilvl w:val="1"/>
          <w:numId w:val="1002"/>
        </w:numPr>
        <w:pStyle w:val="Compact"/>
      </w:pPr>
      <w:r>
        <w:t xml:space="preserve">“</w:t>
      </w:r>
      <w:r>
        <w:t xml:space="preserve">三(一)：</w:t>
      </w:r>
      <w:r>
        <w:rPr>
          <w:bCs/>
          <w:b/>
        </w:rPr>
        <w:t xml:space="preserve">非公立医疗机构提供’互联网+’医疗服务，价格实行市场调节</w:t>
      </w:r>
      <w:r>
        <w:t xml:space="preserve">”</w:t>
      </w:r>
      <w:r>
        <w:t xml:space="preserve"> </w:t>
      </w:r>
      <w:r>
        <w:t xml:space="preserve">★最强授权</w:t>
      </w:r>
    </w:p>
    <w:p>
      <w:pPr>
        <w:numPr>
          <w:ilvl w:val="1"/>
          <w:numId w:val="1002"/>
        </w:numPr>
        <w:pStyle w:val="Compact"/>
      </w:pPr>
      <w:r>
        <w:t xml:space="preserve">“</w:t>
      </w:r>
      <w:r>
        <w:t xml:space="preserve">二(四)：健康管理、健康咨询、便民服务等</w:t>
      </w:r>
      <w:r>
        <w:rPr>
          <w:bCs/>
          <w:b/>
        </w:rPr>
        <w:t xml:space="preserve">不作为医疗服务价格项目</w:t>
      </w:r>
      <w:r>
        <w:t xml:space="preserve">”</w:t>
      </w:r>
      <w:r>
        <w:t xml:space="preserve">(即不受政府指导价管制)</w:t>
      </w:r>
    </w:p>
    <w:p>
      <w:pPr>
        <w:numPr>
          <w:ilvl w:val="1"/>
          <w:numId w:val="1002"/>
        </w:numPr>
        <w:pStyle w:val="Compact"/>
      </w:pPr>
      <w:r>
        <w:t xml:space="preserve">“</w:t>
      </w:r>
      <w:r>
        <w:t xml:space="preserve">二(五)：互联网+家庭医生服务</w:t>
      </w:r>
      <w:r>
        <w:rPr>
          <w:bCs/>
          <w:b/>
        </w:rPr>
        <w:t xml:space="preserve">按照服务包签约内容和标准提供服务和结算</w:t>
      </w:r>
      <w:r>
        <w:t xml:space="preserve">”</w:t>
      </w:r>
      <w:r>
        <w:t xml:space="preserve">(服务包模式国家认可)</w:t>
      </w:r>
    </w:p>
    <w:bookmarkEnd w:id="23"/>
    <w:bookmarkStart w:id="24" w:name="情况b-若以公立医院作为提供服务方角度"/>
    <w:p>
      <w:pPr>
        <w:pStyle w:val="Heading3"/>
      </w:pPr>
      <w:r>
        <w:t xml:space="preserve">情况B · 若以公立医院作为提供服务方角度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发改价格〔2016〕1431号</w:t>
      </w:r>
      <w:r>
        <w:t xml:space="preserve">《推进医疗服务价格改革的意见》</w:t>
      </w:r>
    </w:p>
    <w:p>
      <w:pPr>
        <w:numPr>
          <w:ilvl w:val="1"/>
          <w:numId w:val="1004"/>
        </w:numPr>
        <w:pStyle w:val="Compact"/>
      </w:pPr>
      <w:r>
        <w:t xml:space="preserve">“</w:t>
      </w:r>
      <w:r>
        <w:t xml:space="preserve">二(一)：公立医疗机构提供的</w:t>
      </w:r>
      <w:r>
        <w:rPr>
          <w:bCs/>
          <w:b/>
        </w:rPr>
        <w:t xml:space="preserve">特需医疗服务及市场比较充分、个性化需求强的医疗服务，实行市场调节价</w:t>
      </w:r>
      <w:r>
        <w:t xml:space="preserve">”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医保发〔2021〕41号</w:t>
      </w:r>
      <w:r>
        <w:t xml:space="preserve">《深化医疗服务价格改革试点方案》</w:t>
      </w:r>
    </w:p>
    <w:p>
      <w:pPr>
        <w:numPr>
          <w:ilvl w:val="1"/>
          <w:numId w:val="1005"/>
        </w:numPr>
        <w:pStyle w:val="Compact"/>
      </w:pPr>
      <w:r>
        <w:t xml:space="preserve">“</w:t>
      </w:r>
      <w:r>
        <w:t xml:space="preserve">四(十二)：</w:t>
      </w:r>
      <w:r>
        <w:rPr>
          <w:bCs/>
          <w:b/>
        </w:rPr>
        <w:t xml:space="preserve">特需服务和试行期内新增项目实行市场调节价</w:t>
      </w:r>
      <w:r>
        <w:t xml:space="preserve">(备案制)</w:t>
      </w:r>
      <w:r>
        <w:t xml:space="preserve">”</w:t>
      </w:r>
    </w:p>
    <w:p>
      <w:pPr>
        <w:numPr>
          <w:ilvl w:val="0"/>
          <w:numId w:val="1003"/>
        </w:numPr>
        <w:pStyle w:val="Compact"/>
      </w:pPr>
      <w:r>
        <w:t xml:space="preserve">注意：公立医院自主定价的外延有限（特需/新增项目等有10%规模上限），需备案+公示+知情同意</w:t>
      </w:r>
    </w:p>
    <w:bookmarkEnd w:id="24"/>
    <w:bookmarkStart w:id="25" w:name="内部定价操作程序医院怎么落实自主定价"/>
    <w:p>
      <w:pPr>
        <w:pStyle w:val="Heading3"/>
      </w:pPr>
      <w:r>
        <w:t xml:space="preserve">内部定价操作程序（医院怎么落实自主定价）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国卫财务发〔2019〕64号</w:t>
      </w:r>
      <w:r>
        <w:t xml:space="preserve">《医疗机构内部价格行为管理规定》</w:t>
      </w:r>
    </w:p>
    <w:p>
      <w:pPr>
        <w:numPr>
          <w:ilvl w:val="1"/>
          <w:numId w:val="1007"/>
        </w:numPr>
        <w:pStyle w:val="Compact"/>
      </w:pPr>
      <w:r>
        <w:t xml:space="preserve">第八条(六)：对”已立项的实行市场调节价的项目”进行成本测算、提价格建议、</w:t>
      </w:r>
      <w:r>
        <w:rPr>
          <w:bCs/>
          <w:b/>
        </w:rPr>
        <w:t xml:space="preserve">价格委员会讨论确定后执行</w:t>
      </w:r>
    </w:p>
    <w:p>
      <w:pPr>
        <w:numPr>
          <w:ilvl w:val="0"/>
          <w:numId w:val="1006"/>
        </w:numPr>
        <w:pStyle w:val="Compact"/>
      </w:pPr>
      <w:r>
        <w:t xml:space="preserve">《中华人民共和国价格法》——市场调节价由经营者自主制定、通过市场竞争形成</w:t>
      </w:r>
    </w:p>
    <w:bookmarkEnd w:id="25"/>
    <w:bookmarkStart w:id="26" w:name="一句话给医院定价依据"/>
    <w:p>
      <w:pPr>
        <w:pStyle w:val="Heading3"/>
      </w:pPr>
      <w:r>
        <w:t xml:space="preserve">一句话给医院（定价依据）</w:t>
      </w:r>
    </w:p>
    <w:p>
      <w:pPr>
        <w:pStyle w:val="BlockText"/>
      </w:pPr>
      <w:r>
        <w:t xml:space="preserve">“</w:t>
      </w:r>
      <w:r>
        <w:t xml:space="preserve">这个服务包是</w:t>
      </w:r>
      <w:r>
        <w:rPr>
          <w:bCs/>
          <w:b/>
        </w:rPr>
        <w:t xml:space="preserve">市场调节价/自主定价</w:t>
      </w:r>
      <w:r>
        <w:t xml:space="preserve">，有国家文件明确依据：医保发2019年47号明确’互联网+’医疗服务价格实行市场调节，国卫医发2021年19号明确发展居家康复医疗。您院作为提供服务方，特需/个性化服务可自主定价(发改1431号、医保发41号)。对内按64号文成本测算+价格委员会确定+公示备案，完全合规可操作。</w:t>
      </w:r>
      <w:r>
        <w:t xml:space="preserve">”</w:t>
      </w:r>
    </w:p>
    <w:p>
      <w:pPr>
        <w:pStyle w:val="BlockText"/>
      </w:pPr>
      <w:r>
        <w:t xml:space="preserve">⚠️ 诚实提示：广东省级具体收费目录文件本轮未能调取原文（被验证码拦截），正式对外前建议通过广东省医保局官网(ylbzj.gd.gov.cn)补充核实广东口径。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3" w:name="四诊疗合规与越界红线医院问开方会不会越界"/>
    <w:p>
      <w:pPr>
        <w:pStyle w:val="Heading2"/>
      </w:pPr>
      <w:r>
        <w:t xml:space="preserve">四、诊疗合规与越界红线（★医院问”开方会不会越界”）</w:t>
      </w:r>
    </w:p>
    <w:bookmarkStart w:id="28" w:name="红线总章程必备"/>
    <w:p>
      <w:pPr>
        <w:pStyle w:val="Heading3"/>
      </w:pPr>
      <w:r>
        <w:t xml:space="preserve">红线总章程（★必备）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《医疗机构管理条例》</w:t>
      </w:r>
      <w:r>
        <w:t xml:space="preserve">（2022修订，国务院令752号）第二十四条：</w:t>
      </w:r>
      <w:r>
        <w:t xml:space="preserve">“</w:t>
      </w:r>
      <w:r>
        <w:t xml:space="preserve">任何单位或个人，</w:t>
      </w:r>
      <w:r>
        <w:rPr>
          <w:bCs/>
          <w:b/>
        </w:rPr>
        <w:t xml:space="preserve">未取得《医疗机构执业许可证》，不得开展诊疗活动</w:t>
      </w:r>
      <w:r>
        <w:t xml:space="preserve">”</w:t>
      </w:r>
      <w:r>
        <w:t xml:space="preserve">——这条是底座</w:t>
      </w:r>
    </w:p>
    <w:bookmarkEnd w:id="28"/>
    <w:bookmarkStart w:id="29" w:name="互联网开方有条件合规必备"/>
    <w:p>
      <w:pPr>
        <w:pStyle w:val="Heading3"/>
      </w:pPr>
      <w:r>
        <w:t xml:space="preserve">互联网开方有条件合规（★必备）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国卫医发〔2018〕25号</w:t>
      </w:r>
      <w:r>
        <w:t xml:space="preserve">《互联网诊疗管理办法(试行)》：</w:t>
      </w:r>
    </w:p>
    <w:p>
      <w:pPr>
        <w:numPr>
          <w:ilvl w:val="1"/>
          <w:numId w:val="1010"/>
        </w:numPr>
        <w:pStyle w:val="Compact"/>
      </w:pPr>
      <w:r>
        <w:t xml:space="preserve">第五条：互联网诊疗须由</w:t>
      </w:r>
      <w:r>
        <w:rPr>
          <w:bCs/>
          <w:b/>
        </w:rPr>
        <w:t xml:space="preserve">取得执业许可的医疗机构</w:t>
      </w:r>
      <w:r>
        <w:t xml:space="preserve">提供</w:t>
      </w:r>
    </w:p>
    <w:p>
      <w:pPr>
        <w:numPr>
          <w:ilvl w:val="1"/>
          <w:numId w:val="1010"/>
        </w:numPr>
        <w:pStyle w:val="Compact"/>
      </w:pPr>
      <w:r>
        <w:t xml:space="preserve">第二条/第十六条：只限</w:t>
      </w:r>
      <w:r>
        <w:rPr>
          <w:bCs/>
          <w:b/>
        </w:rPr>
        <w:t xml:space="preserve">部分常见病、慢性病复诊</w:t>
      </w:r>
      <w:r>
        <w:t xml:space="preserve">，</w:t>
      </w:r>
      <w:r>
        <w:rPr>
          <w:bCs/>
          <w:b/>
        </w:rPr>
        <w:t xml:space="preserve">严禁首诊</w:t>
      </w:r>
    </w:p>
    <w:p>
      <w:pPr>
        <w:numPr>
          <w:ilvl w:val="1"/>
          <w:numId w:val="1010"/>
        </w:numPr>
        <w:pStyle w:val="Compact"/>
      </w:pPr>
      <w:r>
        <w:t xml:space="preserve">第十八条：在线处方须</w:t>
      </w:r>
      <w:r>
        <w:rPr>
          <w:bCs/>
          <w:b/>
        </w:rPr>
        <w:t xml:space="preserve">医师电子签名+药师审核</w:t>
      </w:r>
    </w:p>
    <w:p>
      <w:pPr>
        <w:numPr>
          <w:ilvl w:val="1"/>
          <w:numId w:val="1010"/>
        </w:numPr>
        <w:pStyle w:val="Compact"/>
      </w:pPr>
      <w:r>
        <w:t xml:space="preserve">第二十五条：医师须</w:t>
      </w:r>
      <w:r>
        <w:rPr>
          <w:bCs/>
          <w:b/>
        </w:rPr>
        <w:t xml:space="preserve">3年以上独立临床经验</w:t>
      </w:r>
      <w:r>
        <w:t xml:space="preserve">且执业注册机构同意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国卫办医发〔2022〕2号</w:t>
      </w:r>
      <w:r>
        <w:t xml:space="preserve">《互联网诊疗监管细则(试行)》：</w:t>
      </w:r>
    </w:p>
    <w:p>
      <w:pPr>
        <w:numPr>
          <w:ilvl w:val="1"/>
          <w:numId w:val="1011"/>
        </w:numPr>
        <w:pStyle w:val="Compact"/>
      </w:pPr>
      <w:r>
        <w:t xml:space="preserve">第十三条：AI/其他人员</w:t>
      </w:r>
      <w:r>
        <w:rPr>
          <w:bCs/>
          <w:b/>
        </w:rPr>
        <w:t xml:space="preserve">不得冒用、替代医师</w:t>
      </w:r>
    </w:p>
    <w:p>
      <w:pPr>
        <w:numPr>
          <w:ilvl w:val="1"/>
          <w:numId w:val="1011"/>
        </w:numPr>
        <w:pStyle w:val="Compact"/>
      </w:pPr>
      <w:r>
        <w:t xml:space="preserve">第二十一条：</w:t>
      </w:r>
      <w:r>
        <w:rPr>
          <w:bCs/>
          <w:b/>
        </w:rPr>
        <w:t xml:space="preserve">严禁AI自动生成处方</w:t>
      </w:r>
      <w:r>
        <w:t xml:space="preserve">、严禁开方前向患者提供药品</w:t>
      </w:r>
    </w:p>
    <w:bookmarkEnd w:id="29"/>
    <w:bookmarkStart w:id="30" w:name="平台第三方能碰不能碰"/>
    <w:p>
      <w:pPr>
        <w:pStyle w:val="Heading3"/>
      </w:pPr>
      <w:r>
        <w:t xml:space="preserve">平台(第三方)能碰/不能碰</w:t>
      </w:r>
    </w:p>
    <w:p>
      <w:pPr>
        <w:numPr>
          <w:ilvl w:val="0"/>
          <w:numId w:val="1012"/>
        </w:numPr>
        <w:pStyle w:val="Compact"/>
      </w:pPr>
      <w:r>
        <w:t xml:space="preserve">✅ 能：信息技术、等保三级、数据留痕、器械供给、配送</w:t>
      </w:r>
    </w:p>
    <w:p>
      <w:pPr>
        <w:numPr>
          <w:ilvl w:val="0"/>
          <w:numId w:val="1012"/>
        </w:numPr>
        <w:pStyle w:val="Compact"/>
      </w:pPr>
      <w:r>
        <w:t xml:space="preserve">❌ 绝不：开方、诊断、生成治疗方案、宣称治疗/治愈/疗效、替代医师、实质介入诊疗</w:t>
      </w:r>
    </w:p>
    <w:p>
      <w:pPr>
        <w:numPr>
          <w:ilvl w:val="0"/>
          <w:numId w:val="1012"/>
        </w:numPr>
        <w:pStyle w:val="Compact"/>
      </w:pPr>
      <w:r>
        <w:t xml:space="preserve">⚠️ 监管细则第34条：合作各方依协议承担法律责任，</w:t>
      </w:r>
      <w:r>
        <w:rPr>
          <w:bCs/>
          <w:b/>
        </w:rPr>
        <w:t xml:space="preserve">介入越深担责越大</w:t>
      </w:r>
    </w:p>
    <w:bookmarkEnd w:id="30"/>
    <w:bookmarkStart w:id="31" w:name="居家自用设备护士上门的边界"/>
    <w:p>
      <w:pPr>
        <w:pStyle w:val="Heading3"/>
      </w:pPr>
      <w:r>
        <w:t xml:space="preserve">居家自用设备/护士上门的边界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患者在家自用设备</w:t>
      </w:r>
      <w:r>
        <w:t xml:space="preserve">：法规规制”无证机构开展诊疗”，不禁患者自我康复 → 合规空间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护士/康复师上门执行</w:t>
      </w:r>
      <w:r>
        <w:t xml:space="preserve">：只能走”互联网+护理服务”机构模式(机构派注册护士)【国卫办医函〔2019〕80号】；</w:t>
      </w:r>
      <w:r>
        <w:rPr>
          <w:bCs/>
          <w:b/>
        </w:rPr>
        <w:t xml:space="preserve">第三方不得自行派人上门施治</w:t>
      </w:r>
      <w:r>
        <w:t xml:space="preserve">(非法行医风险)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器械分水岭</w:t>
      </w:r>
      <w:r>
        <w:t xml:space="preserve">：家用注册(自主操作)+医生处方适配症=最稳；医用型号流向家庭=超适应症风险；</w:t>
      </w:r>
      <w:r>
        <w:rPr>
          <w:bCs/>
          <w:b/>
        </w:rPr>
        <w:t xml:space="preserve">严禁承诺”治愈/疗效”</w:t>
      </w:r>
    </w:p>
    <w:bookmarkEnd w:id="31"/>
    <w:bookmarkStart w:id="32" w:name="一句话给医院越界边线"/>
    <w:p>
      <w:pPr>
        <w:pStyle w:val="Heading3"/>
      </w:pPr>
      <w:r>
        <w:t xml:space="preserve">一句话给医院（越界边线）</w:t>
      </w:r>
    </w:p>
    <w:p>
      <w:pPr>
        <w:pStyle w:val="BlockText"/>
      </w:pPr>
      <w:r>
        <w:t xml:space="preserve">“</w:t>
      </w:r>
      <w:r>
        <w:t xml:space="preserve">互联网诊疗和处方的’入’在持证医疗机构、’医’是本机构注册医师、’复’是明确诊断的常见慢性病复诊、’不’是首诊和AI越权；第三方只做技术+设备+数据配套，</w:t>
      </w:r>
      <w:r>
        <w:rPr>
          <w:bCs/>
          <w:b/>
        </w:rPr>
        <w:t xml:space="preserve">开方和治疗决策永远留在医院和医生手里</w:t>
      </w:r>
      <w:r>
        <w:t xml:space="preserve">。责任边界写进协议，可追溯、可审计。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五随身携带文件清单优先必带"/>
    <w:p>
      <w:pPr>
        <w:pStyle w:val="Heading2"/>
      </w:pPr>
      <w:r>
        <w:t xml:space="preserve">五、随身携带文件清单（★优先必带）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90"/>
        <w:gridCol w:w="1980"/>
        <w:gridCol w:w="1980"/>
        <w:gridCol w:w="297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带/不带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国卫医发〔2021〕19号 康复医疗意见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居家康复政策依据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★必带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医保发〔2019〕47号 互联网+医疗价格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自主定价依据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★必带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国卫医发〔2018〕25号 互联网诊疗办法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开方合规/越界红线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★必带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国办发〔2018〕26号 互联网+医疗健康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顶层政策锚点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建议带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国卫办医函〔2019〕80号 互联网+护理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护士上门/广东试点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建议带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发改价格〔2016〕1431号 医疗服务价格改革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公立医院自主定价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有备无患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医保发〔2021〕41号 深化医疗服务价格改革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新增项目市场调节价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有备无患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"/>
    <w:bookmarkStart w:id="35" w:name="附-完整政策索引备查"/>
    <w:p>
      <w:pPr>
        <w:pStyle w:val="Heading2"/>
      </w:pPr>
      <w:r>
        <w:t xml:space="preserve">附 · 完整政策索引（备查）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类别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顶层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互联网+医疗健康意见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国办发〔2018〕26号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用药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健康中国2030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中共中央·国务院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护理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互联网+护理试点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国卫办医函〔2019〕80号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护理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互联网+护理进一步推进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国卫办医函〔2020〕985号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护理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改善护理服务行动计划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国卫医政发〔2023〕16号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康复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加快推进康复医疗意见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国卫医发〔2021〕19号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康复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康复医疗服务试点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国卫办医函〔2021〕536号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康复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十四五医疗装备产业规划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工信部联规〔2021〕208号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肿瘤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医养结合高质量发展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国卫老龄发〔2024〕40号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老年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老年人居家医疗服务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国卫办医发〔2020〕24号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老年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居家和社区医养结合指南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国卫办老龄发〔2023〕18号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消费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促进服务消费高质量发展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国发〔2024〕18号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价格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互联网+医疗服务价格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医保发〔2019〕47号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价格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医疗服务价格改革意见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发改价格〔2016〕1431号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价格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深化医疗服务价格改革试点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医保发〔2021〕41号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价格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医疗机构内部价格行为规定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国卫财务发〔2019〕64号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诊疗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互联网诊疗管理办法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国卫医发〔2018〕25号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诊疗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互联网诊疗监管细则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国卫办医发〔2022〕2号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诊疗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医疗机构管理条例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2022修订·国务院752号令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来源：中国政府网(gov.cn)、官方政策库核实。正式对外引用前，建议对核心文号和条款做二次官网核对。</w:t>
      </w:r>
    </w:p>
    <w:bookmarkEnd w:id="35"/>
    <w:bookmarkEnd w:id="3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2026-08-06T09:35:27Z</dcterms:created>
  <dcterms:modified xsi:type="dcterms:W3CDTF">2026-08-06T09:35:27Z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