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line="360" w:lineRule="auto"/>
        <w:jc w:val="center"/>
      </w:pPr>
      <w:r>
        <w:rPr>
          <w:rFonts w:ascii="宋体" w:hAnsi="宋体"/>
          <w:b/>
          <w:sz w:val="36"/>
        </w:rPr>
        <w:t>关于广州圆医生物科技有限公司</w:t>
        <w:br/>
        <w:t>生物反馈电刺激治疗仪（注册证号：粤械注准20222090876）</w:t>
        <w:br/>
        <w:t>适用范围合规性的说明函</w:t>
      </w:r>
    </w:p>
    <w:p>
      <w:pPr>
        <w:spacing w:after="200" w:line="360" w:lineRule="auto"/>
        <w:jc w:val="center"/>
      </w:pPr>
      <w:r>
        <w:rPr>
          <w:rFonts w:ascii="宋体" w:hAnsi="宋体"/>
          <w:b w:val="0"/>
          <w:sz w:val="16"/>
        </w:rPr>
        <w:t>━━━━━━━━━━━━━━━━━━━━━━━━━━━━━━━━━━━━━━━━</w:t>
      </w:r>
    </w:p>
    <w:p>
      <w:pPr>
        <w:spacing w:line="360" w:lineRule="auto"/>
      </w:pPr>
      <w:r>
        <w:rPr>
          <w:rFonts w:ascii="宋体" w:hAnsi="宋体"/>
          <w:b w:val="0"/>
          <w:sz w:val="24"/>
        </w:rPr>
      </w:r>
    </w:p>
    <w:p>
      <w:pPr>
        <w:spacing w:before="320" w:after="160" w:line="360" w:lineRule="auto"/>
        <w:jc w:val="center"/>
      </w:pPr>
      <w:r>
        <w:rPr>
          <w:rFonts w:ascii="宋体" w:hAnsi="宋体"/>
          <w:b/>
          <w:sz w:val="32"/>
        </w:rPr>
        <w:t>关于广州圆医生物科技有限公司生物反馈电刺激治疗仪（注册证号：粤械注准20222090876）适用范围合规性的说明函</w:t>
      </w:r>
    </w:p>
    <w:p>
      <w:pPr>
        <w:spacing w:before="280" w:after="120" w:line="360" w:lineRule="auto"/>
      </w:pPr>
      <w:r>
        <w:rPr>
          <w:rFonts w:ascii="宋体" w:hAnsi="宋体"/>
          <w:b/>
          <w:sz w:val="28"/>
        </w:rPr>
        <w:t>一、背景</w:t>
      </w:r>
    </w:p>
    <w:p>
      <w:pPr>
        <w:spacing w:before="60" w:after="60" w:line="360" w:lineRule="auto"/>
      </w:pPr>
      <w:r>
        <w:rPr>
          <w:rFonts w:ascii="宋体" w:hAnsi="宋体"/>
          <w:b w:val="0"/>
          <w:sz w:val="24"/>
        </w:rPr>
        <w:t>近期有患者对广州圆医生物科技有限公司（以下简称"我司"）生产的生物反馈电刺激治疗仪（注册证号：粤械注准20222090876）在医疗机构用于"子宫复旧"项目的合规性提出质疑，认为该产品注册证的适用范围未明确列明"子宫复旧"相关表述，进而主张属于"超范围使用"。</w:t>
      </w:r>
    </w:p>
    <w:p>
      <w:pPr>
        <w:spacing w:before="60" w:after="60" w:line="360" w:lineRule="auto"/>
      </w:pPr>
      <w:r>
        <w:rPr>
          <w:rFonts w:ascii="宋体" w:hAnsi="宋体"/>
          <w:b w:val="0"/>
          <w:sz w:val="24"/>
        </w:rPr>
        <w:t>对此，我司从医疗器械注册法规、产品技术原理、临床实践及监管实践四个维度，就本产品用于子宫复旧治疗的合规性作出如下说明。</w:t>
      </w:r>
    </w:p>
    <w:p>
      <w:pPr>
        <w:spacing w:before="280" w:after="120" w:line="360" w:lineRule="auto"/>
      </w:pPr>
      <w:r>
        <w:rPr>
          <w:rFonts w:ascii="宋体" w:hAnsi="宋体"/>
          <w:b/>
          <w:sz w:val="28"/>
        </w:rPr>
        <w:t>二、注册证适用范围的法律性质</w:t>
      </w:r>
    </w:p>
    <w:p>
      <w:pPr>
        <w:spacing w:before="200" w:after="80" w:line="360" w:lineRule="auto"/>
      </w:pPr>
      <w:r>
        <w:rPr>
          <w:rFonts w:ascii="宋体" w:hAnsi="宋体"/>
          <w:b/>
          <w:sz w:val="26"/>
        </w:rPr>
        <w:t>2.1 注册证适用范围的规范依据</w:t>
      </w:r>
    </w:p>
    <w:p>
      <w:pPr>
        <w:spacing w:before="60" w:after="60" w:line="360" w:lineRule="auto"/>
      </w:pPr>
      <w:r>
        <w:rPr>
          <w:rFonts w:ascii="宋体" w:hAnsi="宋体"/>
          <w:b w:val="0"/>
          <w:sz w:val="24"/>
        </w:rPr>
        <w:t>根据《医疗器械监督管理条例》（国务院令第739号，2021年修订）及《医疗器械注册与备案管理办法》（国家市场监督管理总局令第47号，2021年），医疗器械注册证中"适用范围/预期用途"的表述，是对产品预期临床用途的描述，其表述方式采取概括性描述与具体列举相结合的原则，实践中由注册申请人根据产品特性自行拟定，经审评机构审核确认。</w:t>
      </w:r>
    </w:p>
    <w:p>
      <w:pPr>
        <w:spacing w:before="60" w:after="60" w:line="360" w:lineRule="auto"/>
      </w:pPr>
      <w:r>
        <w:rPr>
          <w:rFonts w:ascii="宋体" w:hAnsi="宋体"/>
          <w:b w:val="0"/>
          <w:sz w:val="24"/>
        </w:rPr>
        <w:t>现行法规并未要求注册证必须穷举所有可治疗的疾病名称或临床项目。国家药品监督管理局《医疗器械说明书和标签管理规定》（国家食品药品监督管理总局令第6号，2014年）亦未规定适用范围必须采用逐项列举的方式。</w:t>
      </w:r>
    </w:p>
    <w:p>
      <w:pPr>
        <w:spacing w:before="200" w:after="80" w:line="360" w:lineRule="auto"/>
      </w:pPr>
      <w:r>
        <w:rPr>
          <w:rFonts w:ascii="宋体" w:hAnsi="宋体"/>
          <w:b/>
          <w:sz w:val="26"/>
        </w:rPr>
        <w:t>2.2 概括式写法的合法性与普遍性</w:t>
      </w:r>
    </w:p>
    <w:p>
      <w:pPr>
        <w:spacing w:before="60" w:after="60" w:line="360" w:lineRule="auto"/>
      </w:pPr>
      <w:r>
        <w:rPr>
          <w:rFonts w:ascii="宋体" w:hAnsi="宋体"/>
          <w:b w:val="0"/>
          <w:sz w:val="24"/>
        </w:rPr>
        <w:t>在医疗器械注册实践中，适用范围存在两种常见表述方式：</w:t>
      </w:r>
    </w:p>
    <w:p>
      <w:pPr>
        <w:spacing w:before="40" w:after="40" w:line="360" w:lineRule="auto"/>
        <w:ind w:left="425"/>
      </w:pPr>
      <w:r>
        <w:rPr>
          <w:rFonts w:ascii="宋体" w:hAnsi="宋体"/>
          <w:b w:val="0"/>
          <w:sz w:val="24"/>
        </w:rPr>
        <w:t>• 概括式写法：以产品作用机理和生理学效应为核心，使用涵盖性表述，如"对肌肉施加电刺激""恢复肌肉功能障碍"等。此种写法适用于产品作用机制明确、治疗靶点宽泛的情形。</w:t>
      </w:r>
    </w:p>
    <w:p>
      <w:pPr>
        <w:spacing w:before="40" w:after="40" w:line="360" w:lineRule="auto"/>
        <w:ind w:left="425"/>
      </w:pPr>
      <w:r>
        <w:rPr>
          <w:rFonts w:ascii="宋体" w:hAnsi="宋体"/>
          <w:b w:val="0"/>
          <w:sz w:val="24"/>
        </w:rPr>
        <w:t>• 列举式写法：逐项列明具体适应症，如"子宫脱垂、慢性盆腔疼痛、产后阴道复旧"等。此种写法常见于产品已就多个适应症分别完成临床评价的情形。</w:t>
      </w:r>
    </w:p>
    <w:p>
      <w:pPr>
        <w:spacing w:before="60" w:after="60" w:line="360" w:lineRule="auto"/>
      </w:pPr>
      <w:r>
        <w:rPr>
          <w:rFonts w:ascii="宋体" w:hAnsi="宋体"/>
          <w:b w:val="0"/>
          <w:sz w:val="24"/>
        </w:rPr>
        <w:t>两种写法均合法有效，不存在优劣之分，亦不意味着概括式写法的产品治疗能力小于列举式写法的产品。</w:t>
      </w:r>
    </w:p>
    <w:p>
      <w:pPr>
        <w:spacing w:before="280" w:after="120" w:line="360" w:lineRule="auto"/>
      </w:pPr>
      <w:r>
        <w:rPr>
          <w:rFonts w:ascii="宋体" w:hAnsi="宋体"/>
          <w:b/>
          <w:sz w:val="28"/>
        </w:rPr>
        <w:t>三、子宫复旧的生理学本质与产品适用范围的对应关系</w:t>
      </w:r>
    </w:p>
    <w:p>
      <w:pPr>
        <w:spacing w:before="200" w:after="80" w:line="360" w:lineRule="auto"/>
      </w:pPr>
      <w:r>
        <w:rPr>
          <w:rFonts w:ascii="宋体" w:hAnsi="宋体"/>
          <w:b/>
          <w:sz w:val="26"/>
        </w:rPr>
        <w:t>3.1 子宫复旧的生理学基础</w:t>
      </w:r>
    </w:p>
    <w:p>
      <w:pPr>
        <w:spacing w:before="60" w:after="60" w:line="360" w:lineRule="auto"/>
      </w:pPr>
      <w:r>
        <w:rPr>
          <w:rFonts w:ascii="宋体" w:hAnsi="宋体"/>
          <w:b w:val="0"/>
          <w:sz w:val="24"/>
        </w:rPr>
        <w:t>子宫复旧（Uterine Involution）是指分娩后或人工流产术后，子宫逐步恢复到未孕状态的过程。该过程的生理学本质是子宫平滑肌的节律性收缩，通过收缩关闭血窦、排出恶露、恢复子宫正常大小和形态。</w:t>
      </w:r>
    </w:p>
    <w:p>
      <w:pPr>
        <w:spacing w:before="200" w:after="80" w:line="360" w:lineRule="auto"/>
      </w:pPr>
      <w:r>
        <w:rPr>
          <w:rFonts w:ascii="宋体" w:hAnsi="宋体"/>
          <w:b/>
          <w:sz w:val="26"/>
        </w:rPr>
        <w:t>3.2 产品的治疗原理</w:t>
      </w:r>
    </w:p>
    <w:p>
      <w:pPr>
        <w:spacing w:before="60" w:after="60" w:line="360" w:lineRule="auto"/>
      </w:pPr>
      <w:r>
        <w:rPr>
          <w:rFonts w:ascii="宋体" w:hAnsi="宋体"/>
          <w:b w:val="0"/>
          <w:sz w:val="24"/>
        </w:rPr>
        <w:t>我司生物反馈电刺激治疗仪（粤械注准20222090876）的注册证适用范围明确载明："对患者的肌肉施加电刺激来恢复患者的肌肉功能障碍"。</w:t>
      </w:r>
    </w:p>
    <w:p>
      <w:pPr>
        <w:spacing w:before="60" w:after="60" w:line="360" w:lineRule="auto"/>
      </w:pPr>
      <w:r>
        <w:rPr>
          <w:rFonts w:ascii="宋体" w:hAnsi="宋体"/>
          <w:b w:val="0"/>
          <w:sz w:val="24"/>
        </w:rPr>
        <w:t>从解剖学和生理学角度：</w:t>
      </w:r>
    </w:p>
    <w:p>
      <w:pPr>
        <w:spacing w:before="40" w:after="40" w:line="360" w:lineRule="auto"/>
        <w:ind w:left="425"/>
      </w:pPr>
      <w:r>
        <w:rPr>
          <w:rFonts w:ascii="宋体" w:hAnsi="宋体"/>
          <w:b w:val="0"/>
          <w:sz w:val="24"/>
        </w:rPr>
        <w:t>• 子宫主要由平滑肌组织构成（子宫平滑肌）</w:t>
      </w:r>
    </w:p>
    <w:p>
      <w:pPr>
        <w:spacing w:before="40" w:after="40" w:line="360" w:lineRule="auto"/>
        <w:ind w:left="425"/>
      </w:pPr>
      <w:r>
        <w:rPr>
          <w:rFonts w:ascii="宋体" w:hAnsi="宋体"/>
          <w:b w:val="0"/>
          <w:sz w:val="24"/>
        </w:rPr>
        <w:t>• 子宫复旧不良的本质是子宫平滑肌收缩功能障碍</w:t>
      </w:r>
    </w:p>
    <w:p>
      <w:pPr>
        <w:spacing w:before="40" w:after="40" w:line="360" w:lineRule="auto"/>
        <w:ind w:left="425"/>
      </w:pPr>
      <w:r>
        <w:rPr>
          <w:rFonts w:ascii="宋体" w:hAnsi="宋体"/>
          <w:b w:val="0"/>
          <w:sz w:val="24"/>
        </w:rPr>
        <w:t>• 电刺激通过特定频率和参数的电流作用于子宫平滑肌，促进其节律性收缩，加速复旧</w:t>
      </w:r>
    </w:p>
    <w:p>
      <w:pPr>
        <w:spacing w:before="60" w:after="60" w:line="360" w:lineRule="auto"/>
      </w:pPr>
      <w:r>
        <w:rPr>
          <w:rFonts w:ascii="宋体" w:hAnsi="宋体"/>
          <w:b w:val="0"/>
          <w:sz w:val="24"/>
        </w:rPr>
        <w:t>因此，子宫复旧治疗完全涵盖在我司产品"对肌肉施加电刺激来恢复肌肉功能障碍"的适用范围之内。适用范围未单独列出"子宫复旧"字样，不构成超范围使用。</w:t>
      </w:r>
    </w:p>
    <w:p>
      <w:pPr>
        <w:spacing w:before="200" w:after="80" w:line="360" w:lineRule="auto"/>
      </w:pPr>
      <w:r>
        <w:rPr>
          <w:rFonts w:ascii="宋体" w:hAnsi="宋体"/>
          <w:b/>
          <w:sz w:val="26"/>
        </w:rPr>
        <w:t>3.3 与同类产品的对照</w:t>
      </w:r>
    </w:p>
    <w:p>
      <w:pPr>
        <w:spacing w:before="60" w:after="60" w:line="360" w:lineRule="auto"/>
      </w:pPr>
      <w:r>
        <w:rPr>
          <w:rFonts w:ascii="宋体" w:hAnsi="宋体"/>
          <w:b w:val="0"/>
          <w:sz w:val="24"/>
        </w:rPr>
        <w:t>以南京伟思医疗科技股份有限公司生产的生物刺激反馈仪（注册证号：苏械注准20242092160，2024年获批）为例，其适用范围明确列举了"促进产后阴道复旧"等具体适应症。</w:t>
      </w:r>
    </w:p>
    <w:p>
      <w:pPr>
        <w:spacing w:before="60" w:after="60" w:line="360" w:lineRule="auto"/>
      </w:pPr>
      <w:r>
        <w:rPr>
          <w:rFonts w:ascii="宋体" w:hAnsi="宋体"/>
          <w:b w:val="0"/>
          <w:sz w:val="24"/>
        </w:rPr>
        <w:t>对比可见：</w:t>
      </w:r>
    </w:p>
    <w:p>
      <w:pPr>
        <w:spacing w:before="40" w:after="40" w:line="360" w:lineRule="auto"/>
        <w:ind w:left="425"/>
      </w:pPr>
      <w:r>
        <w:rPr>
          <w:rFonts w:ascii="宋体" w:hAnsi="宋体"/>
          <w:b w:val="0"/>
          <w:sz w:val="24"/>
        </w:rPr>
        <w:t>• 表述差异不等于治疗能力差异。两产品均通过电刺激作用于盆底及盆腔肌肉组织实现治疗效果，核心治疗原理一致。</w:t>
      </w:r>
    </w:p>
    <w:p>
      <w:pPr>
        <w:spacing w:before="40" w:after="40" w:line="360" w:lineRule="auto"/>
        <w:ind w:left="425"/>
      </w:pPr>
      <w:r>
        <w:rPr>
          <w:rFonts w:ascii="宋体" w:hAnsi="宋体"/>
          <w:b w:val="0"/>
          <w:sz w:val="24"/>
        </w:rPr>
        <w:t>• 注册年份、审评机构不同，表述方式不同是注册申报策略差异所致，与产品实际治疗能力无关。</w:t>
      </w:r>
    </w:p>
    <w:p>
      <w:pPr>
        <w:spacing w:before="40" w:after="40" w:line="360" w:lineRule="auto"/>
        <w:ind w:left="425"/>
      </w:pPr>
      <w:r>
        <w:rPr>
          <w:rFonts w:ascii="宋体" w:hAnsi="宋体"/>
          <w:b w:val="0"/>
          <w:sz w:val="24"/>
        </w:rPr>
        <w:t>• 伟思产品的适用范围虽然写得详细，但其治疗的作用机制与我司产品并无本质区别。</w:t>
      </w:r>
    </w:p>
    <w:p>
      <w:pPr>
        <w:spacing w:before="60" w:after="60" w:line="360" w:lineRule="auto"/>
      </w:pPr>
      <w:r>
        <w:rPr>
          <w:rFonts w:ascii="宋体" w:hAnsi="宋体"/>
          <w:b w:val="0"/>
          <w:sz w:val="24"/>
        </w:rPr>
        <w:t>宽泛不等于不能治，详细不等于独家能治。</w:t>
      </w:r>
    </w:p>
    <w:p>
      <w:pPr>
        <w:spacing w:before="280" w:after="120" w:line="360" w:lineRule="auto"/>
      </w:pPr>
      <w:r>
        <w:rPr>
          <w:rFonts w:ascii="宋体" w:hAnsi="宋体"/>
          <w:b/>
          <w:sz w:val="28"/>
        </w:rPr>
        <w:t>四、临床应用的合规性依据</w:t>
      </w:r>
    </w:p>
    <w:p>
      <w:pPr>
        <w:spacing w:before="200" w:after="80" w:line="360" w:lineRule="auto"/>
      </w:pPr>
      <w:r>
        <w:rPr>
          <w:rFonts w:ascii="宋体" w:hAnsi="宋体"/>
          <w:b/>
          <w:sz w:val="26"/>
        </w:rPr>
        <w:t>4.1 医疗机构诊疗项目自主权</w:t>
      </w:r>
    </w:p>
    <w:p>
      <w:pPr>
        <w:spacing w:before="60" w:after="60" w:line="360" w:lineRule="auto"/>
      </w:pPr>
      <w:r>
        <w:rPr>
          <w:rFonts w:ascii="宋体" w:hAnsi="宋体"/>
          <w:b w:val="0"/>
          <w:sz w:val="24"/>
        </w:rPr>
        <w:t>根据《医疗机构管理条例》及《医疗技术临床应用管理办法》，医疗机构在获得患者知情同意的前提下，有权根据临床诊疗规范和患者病情需要，在注册证适用范围内选择合适的治疗方式。只要治疗项目所针对的病理状态属于产品适用范围涵盖的范畴，即不构成超范围使用。</w:t>
      </w:r>
    </w:p>
    <w:p>
      <w:pPr>
        <w:spacing w:before="200" w:after="80" w:line="360" w:lineRule="auto"/>
      </w:pPr>
      <w:r>
        <w:rPr>
          <w:rFonts w:ascii="宋体" w:hAnsi="宋体"/>
          <w:b/>
          <w:sz w:val="26"/>
        </w:rPr>
        <w:t>4.2 诊疗项目与注册证适用范围的逻辑关系</w:t>
      </w:r>
    </w:p>
    <w:p>
      <w:pPr>
        <w:spacing w:before="60" w:after="60" w:line="360" w:lineRule="auto"/>
      </w:pPr>
      <w:r>
        <w:rPr>
          <w:rFonts w:ascii="宋体" w:hAnsi="宋体"/>
          <w:b w:val="0"/>
          <w:sz w:val="24"/>
        </w:rPr>
        <w:t>"子宫复旧"是临床诊疗项目名称，而非医疗器械的独立注册单元。医疗器械注册证的适用范围是对产品的生理学/病理学作用范畴的描述，而非对特定诊疗项目名称的映射。要求注册证逐一对应所有临床诊疗项目名称，既不符合监管实践，也不具备可操作性。</w:t>
      </w:r>
    </w:p>
    <w:p>
      <w:pPr>
        <w:spacing w:before="200" w:after="80" w:line="360" w:lineRule="auto"/>
      </w:pPr>
      <w:r>
        <w:rPr>
          <w:rFonts w:ascii="宋体" w:hAnsi="宋体"/>
          <w:b/>
          <w:sz w:val="26"/>
        </w:rPr>
        <w:t>4.3 收费标准的合规性</w:t>
      </w:r>
    </w:p>
    <w:p>
      <w:pPr>
        <w:spacing w:before="60" w:after="60" w:line="360" w:lineRule="auto"/>
      </w:pPr>
      <w:r>
        <w:rPr>
          <w:rFonts w:ascii="宋体" w:hAnsi="宋体"/>
          <w:b w:val="0"/>
          <w:sz w:val="24"/>
        </w:rPr>
        <w:t>医疗机构使用本产品开展子宫复旧治疗，其收费标准经当地医疗保障部门或卫生健康行政部门核准，与注册证适用范围之间不存在冲突。产品的适用范围并不构成收费项目合法性的前提条件。</w:t>
      </w:r>
    </w:p>
    <w:p>
      <w:pPr>
        <w:spacing w:before="280" w:after="120" w:line="360" w:lineRule="auto"/>
      </w:pPr>
      <w:r>
        <w:rPr>
          <w:rFonts w:ascii="宋体" w:hAnsi="宋体"/>
          <w:b/>
          <w:sz w:val="28"/>
        </w:rPr>
        <w:t>五、与南京伟思产品注册证的对比分析</w:t>
      </w:r>
    </w:p>
    <w:p>
      <w:pPr>
        <w:spacing w:before="20" w:after="20" w:line="360" w:lineRule="auto"/>
        <w:ind w:left="283"/>
      </w:pPr>
      <w:r>
        <w:rPr>
          <w:rFonts w:ascii="宋体" w:hAnsi="宋体"/>
          <w:b w:val="0"/>
          <w:sz w:val="22"/>
        </w:rPr>
        <w:t>对比项 | 圆医生物反馈电刺激治疗仪（粤械注准20222090876） | 伟思生物刺激反馈仪（苏械注准20242092160）</w:t>
      </w:r>
    </w:p>
    <w:p>
      <w:pPr>
        <w:spacing w:after="40" w:line="360" w:lineRule="auto"/>
        <w:ind w:left="283"/>
      </w:pPr>
      <w:r>
        <w:rPr>
          <w:rFonts w:ascii="宋体" w:hAnsi="宋体"/>
          <w:b w:val="0"/>
          <w:sz w:val="20"/>
        </w:rPr>
        <w:t>（表格内容，上行为表头）</w:t>
      </w:r>
    </w:p>
    <w:p>
      <w:pPr>
        <w:spacing w:before="20" w:after="20" w:line="360" w:lineRule="auto"/>
        <w:ind w:left="283"/>
      </w:pPr>
      <w:r>
        <w:rPr>
          <w:rFonts w:ascii="宋体" w:hAnsi="宋体"/>
          <w:b w:val="0"/>
          <w:sz w:val="22"/>
        </w:rPr>
        <w:t>注册年份 | 2022年 | 2024年</w:t>
      </w:r>
    </w:p>
    <w:p>
      <w:pPr>
        <w:spacing w:before="20" w:after="20" w:line="360" w:lineRule="auto"/>
        <w:ind w:left="283"/>
      </w:pPr>
      <w:r>
        <w:rPr>
          <w:rFonts w:ascii="宋体" w:hAnsi="宋体"/>
          <w:b w:val="0"/>
          <w:sz w:val="22"/>
        </w:rPr>
        <w:t>审批机关 | 广东省药品监督管理局 | 江苏省药品监督管理局</w:t>
      </w:r>
    </w:p>
    <w:p>
      <w:pPr>
        <w:spacing w:before="20" w:after="20" w:line="360" w:lineRule="auto"/>
        <w:ind w:left="283"/>
      </w:pPr>
      <w:r>
        <w:rPr>
          <w:rFonts w:ascii="宋体" w:hAnsi="宋体"/>
          <w:b w:val="0"/>
          <w:sz w:val="22"/>
        </w:rPr>
        <w:t>表述方式 | 概括式（肌肉功能障碍） | 列举式（具体适应症列表）</w:t>
      </w:r>
    </w:p>
    <w:p>
      <w:pPr>
        <w:spacing w:before="20" w:after="20" w:line="360" w:lineRule="auto"/>
        <w:ind w:left="283"/>
      </w:pPr>
      <w:r>
        <w:rPr>
          <w:rFonts w:ascii="宋体" w:hAnsi="宋体"/>
          <w:b w:val="0"/>
          <w:sz w:val="22"/>
        </w:rPr>
        <w:t>治疗原理 | 电刺激肌肉→恢复肌肉功能 | 电刺激肌肉→恢复肌肉功能</w:t>
      </w:r>
    </w:p>
    <w:p>
      <w:pPr>
        <w:spacing w:before="20" w:after="20" w:line="360" w:lineRule="auto"/>
        <w:ind w:left="283"/>
      </w:pPr>
      <w:r>
        <w:rPr>
          <w:rFonts w:ascii="宋体" w:hAnsi="宋体"/>
          <w:b w:val="0"/>
          <w:sz w:val="22"/>
        </w:rPr>
        <w:t>可用于子宫复旧 | ✅ 是 | ✅ 是</w:t>
      </w:r>
    </w:p>
    <w:p>
      <w:pPr>
        <w:spacing w:before="20" w:after="20" w:line="360" w:lineRule="auto"/>
        <w:ind w:left="283"/>
      </w:pPr>
      <w:r>
        <w:rPr>
          <w:rFonts w:ascii="宋体" w:hAnsi="宋体"/>
          <w:b w:val="0"/>
          <w:sz w:val="22"/>
        </w:rPr>
        <w:t>结论 | 合法合规 | 合法合规</w:t>
      </w:r>
    </w:p>
    <w:p>
      <w:pPr>
        <w:spacing w:before="60" w:after="60" w:line="360" w:lineRule="auto"/>
      </w:pPr>
      <w:r>
        <w:rPr>
          <w:rFonts w:ascii="宋体" w:hAnsi="宋体"/>
          <w:b w:val="0"/>
          <w:sz w:val="24"/>
        </w:rPr>
        <w:t>两者均可合法用于子宫复旧治疗。注册证表述方式的差异不影响产品的临床适用范围。</w:t>
      </w:r>
    </w:p>
    <w:p>
      <w:pPr>
        <w:spacing w:before="280" w:after="120" w:line="360" w:lineRule="auto"/>
      </w:pPr>
      <w:r>
        <w:rPr>
          <w:rFonts w:ascii="宋体" w:hAnsi="宋体"/>
          <w:b/>
          <w:sz w:val="28"/>
        </w:rPr>
        <w:t>六、结论</w:t>
      </w:r>
    </w:p>
    <w:p>
      <w:pPr>
        <w:spacing w:before="60" w:after="60" w:line="360" w:lineRule="auto"/>
      </w:pPr>
      <w:r>
        <w:rPr>
          <w:rFonts w:ascii="宋体" w:hAnsi="宋体"/>
          <w:b w:val="0"/>
          <w:sz w:val="24"/>
        </w:rPr>
        <w:t>综上所述：</w:t>
      </w:r>
    </w:p>
    <w:p>
      <w:pPr>
        <w:spacing w:before="60" w:after="60" w:line="360" w:lineRule="auto"/>
      </w:pPr>
      <w:r>
        <w:rPr>
          <w:rFonts w:ascii="宋体" w:hAnsi="宋体"/>
          <w:b w:val="0"/>
          <w:sz w:val="24"/>
        </w:rPr>
        <w:t>1. 我司产品（粤械注准20222090876）的适用范围"对患者的肌肉施加电刺激来恢复患者的肌肉功能障碍"完全涵盖子宫复旧治疗，子宫作为平滑肌器官，其复旧过程本质上就是肌肉功能的恢复。</w:t>
      </w:r>
    </w:p>
    <w:p>
      <w:pPr>
        <w:spacing w:before="60" w:after="60" w:line="360" w:lineRule="auto"/>
      </w:pPr>
      <w:r>
        <w:rPr>
          <w:rFonts w:ascii="宋体" w:hAnsi="宋体"/>
          <w:b w:val="0"/>
          <w:sz w:val="24"/>
        </w:rPr>
        <w:t>2. 注册证未单独列明"子宫复旧"字样，不构成超范围使用。医疗器械注册证的适用范围表述方式（概括式或列举式）属于注册策略差异，不影响产品的实际治疗能力。</w:t>
      </w:r>
    </w:p>
    <w:p>
      <w:pPr>
        <w:spacing w:before="60" w:after="60" w:line="360" w:lineRule="auto"/>
      </w:pPr>
      <w:r>
        <w:rPr>
          <w:rFonts w:ascii="宋体" w:hAnsi="宋体"/>
          <w:b w:val="0"/>
          <w:sz w:val="24"/>
        </w:rPr>
        <w:t>3. 与列举式写法的同类产品（苏械注准20242092160）进行对比，进一步印证了概括式写法的合规性。</w:t>
      </w:r>
    </w:p>
    <w:p>
      <w:pPr>
        <w:spacing w:before="60" w:after="60" w:line="360" w:lineRule="auto"/>
      </w:pPr>
      <w:r>
        <w:rPr>
          <w:rFonts w:ascii="宋体" w:hAnsi="宋体"/>
          <w:b w:val="0"/>
          <w:sz w:val="24"/>
        </w:rPr>
        <w:t>4. 医疗机构在注册证适用范围内开展子宫复旧治疗项目，合规、合法、不越界。</w:t>
      </w:r>
    </w:p>
    <w:p>
      <w:pPr>
        <w:spacing w:before="60" w:after="60" w:line="360" w:lineRule="auto"/>
      </w:pPr>
      <w:r>
        <w:rPr>
          <w:rFonts w:ascii="宋体" w:hAnsi="宋体"/>
          <w:b w:val="0"/>
          <w:sz w:val="24"/>
        </w:rPr>
        <w:t>广州圆医生物科技有限公司</w:t>
      </w:r>
    </w:p>
    <w:p>
      <w:pPr>
        <w:spacing w:before="60" w:after="60" w:line="360" w:lineRule="auto"/>
      </w:pPr>
      <w:r>
        <w:rPr>
          <w:rFonts w:ascii="宋体" w:hAnsi="宋体"/>
          <w:b w:val="0"/>
          <w:sz w:val="24"/>
        </w:rPr>
        <w:t>2026年7月</w:t>
      </w:r>
    </w:p>
    <w:p>
      <w:r>
        <w:br w:type="page"/>
      </w:r>
    </w:p>
    <w:p>
      <w:pPr>
        <w:spacing w:before="480" w:line="360" w:lineRule="auto"/>
        <w:jc w:val="center"/>
      </w:pPr>
      <w:r>
        <w:rPr>
          <w:rFonts w:ascii="宋体" w:hAnsi="宋体"/>
          <w:b w:val="0"/>
          <w:sz w:val="20"/>
        </w:rPr>
        <w:t>— 文档结束 —</w:t>
      </w:r>
    </w:p>
    <w:p>
      <w:pPr>
        <w:spacing w:line="360" w:lineRule="auto"/>
        <w:jc w:val="center"/>
      </w:pPr>
      <w:r>
        <w:rPr>
          <w:rFonts w:ascii="宋体" w:hAnsi="宋体"/>
          <w:b w:val="0"/>
          <w:sz w:val="20"/>
        </w:rPr>
        <w:t>广州圆医生物科技有限公司</w:t>
      </w:r>
    </w:p>
    <w:p>
      <w:pPr>
        <w:spacing w:line="360" w:lineRule="auto"/>
        <w:jc w:val="center"/>
      </w:pPr>
      <w:r>
        <w:rPr>
          <w:rFonts w:ascii="宋体" w:hAnsi="宋体"/>
          <w:b w:val="0"/>
          <w:sz w:val="20"/>
        </w:rPr>
        <w:t>2026年7月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