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336" w:lineRule="auto"/>
      </w:pPr>
      <w:r>
        <w:rPr>
          <w:rFonts w:ascii="微软雅黑" w:hAnsi="微软雅黑" w:eastAsia="微软雅黑"/>
        </w:rPr>
        <w:t>【发布前必读 · 顶部承接句（必须加，发的时候放正文最前面）】</w:t>
      </w:r>
    </w:p>
    <w:p>
      <w:pPr>
        <w:spacing w:after="120" w:line="336" w:lineRule="auto"/>
      </w:pPr>
      <w:r>
        <w:rPr>
          <w:rFonts w:ascii="微软雅黑" w:hAnsi="微软雅黑" w:eastAsia="微软雅黑"/>
        </w:rPr>
        <w:t>应不少朋友询问，我们把"智慧家康"这件事系统地讲一次。这套东西不是我们临时想出来的概念，而是这些年在医院和患者家里跑出来的答案。以下是完整说明，供关心这件事的朋友参考。</w:t>
      </w:r>
    </w:p>
    <w:p>
      <w:pPr>
        <w:spacing w:after="120" w:line="336" w:lineRule="auto"/>
      </w:pPr>
      <w:r>
        <w:rPr>
          <w:rFonts w:ascii="微软雅黑" w:hAnsi="微软雅黑" w:eastAsia="微软雅黑"/>
        </w:rPr>
        <w:t>—————————————————————————</w:t>
      </w:r>
    </w:p>
    <w:p>
      <w:pPr>
        <w:spacing w:after="120" w:line="336" w:lineRule="auto"/>
      </w:pPr>
      <w:r>
        <w:rPr>
          <w:rFonts w:ascii="微软雅黑" w:hAnsi="微软雅黑" w:eastAsia="微软雅黑"/>
        </w:rPr>
        <w:t>先说结论</w:t>
      </w:r>
    </w:p>
    <w:p>
      <w:pPr>
        <w:spacing w:after="120" w:line="336" w:lineRule="auto"/>
      </w:pPr>
      <w:r>
        <w:rPr>
          <w:rFonts w:ascii="微软雅黑" w:hAnsi="微软雅黑" w:eastAsia="微软雅黑"/>
        </w:rPr>
        <w:t>上周那篇《什么是智慧家康》，我们把定义、构成、边界讲了一遍。收到不少追问，集中在这几类：</w:t>
      </w:r>
    </w:p>
    <w:p>
      <w:pPr>
        <w:spacing w:after="120" w:line="336" w:lineRule="auto"/>
      </w:pPr>
      <w:r>
        <w:rPr>
          <w:rFonts w:ascii="微软雅黑" w:hAnsi="微软雅黑" w:eastAsia="微软雅黑"/>
        </w:rPr>
        <w:t>· 五个要素听着都对，但落到一家医院里，具体谁干什么？</w:t>
      </w:r>
    </w:p>
    <w:p>
      <w:pPr>
        <w:spacing w:after="120" w:line="336" w:lineRule="auto"/>
      </w:pPr>
      <w:r>
        <w:rPr>
          <w:rFonts w:ascii="微软雅黑" w:hAnsi="微软雅黑" w:eastAsia="微软雅黑"/>
        </w:rPr>
        <w:t>· 医生会不会被增加工作量？他最怕的就是多一套系统要填。</w:t>
      </w:r>
    </w:p>
    <w:p>
      <w:pPr>
        <w:spacing w:after="120" w:line="336" w:lineRule="auto"/>
      </w:pPr>
      <w:r>
        <w:rPr>
          <w:rFonts w:ascii="微软雅黑" w:hAnsi="微软雅黑" w:eastAsia="微软雅黑"/>
        </w:rPr>
        <w:t>· 患者在家做，钱怎么走？会不会让人觉得我们是在卖设备？</w:t>
      </w:r>
    </w:p>
    <w:p>
      <w:pPr>
        <w:spacing w:after="120" w:line="336" w:lineRule="auto"/>
      </w:pPr>
      <w:r>
        <w:rPr>
          <w:rFonts w:ascii="微软雅黑" w:hAnsi="微软雅黑" w:eastAsia="微软雅黑"/>
        </w:rPr>
        <w:t>· 说是"不替代医院"，具体怎么保证？</w:t>
      </w:r>
    </w:p>
    <w:p>
      <w:pPr>
        <w:spacing w:after="120" w:line="336" w:lineRule="auto"/>
      </w:pPr>
      <w:r>
        <w:rPr>
          <w:rFonts w:ascii="微软雅黑" w:hAnsi="微软雅黑" w:eastAsia="微软雅黑"/>
        </w:rPr>
        <w:t>这篇不重复定义，只回答一件事：这套东西在一家医院里，具体怎么跑起来。</w:t>
      </w:r>
    </w:p>
    <w:p>
      <w:pPr>
        <w:spacing w:after="120" w:line="336" w:lineRule="auto"/>
      </w:pPr>
      <w:r>
        <w:rPr>
          <w:rFonts w:ascii="微软雅黑" w:hAnsi="微软雅黑" w:eastAsia="微软雅黑"/>
        </w:rPr>
        <w:t>一、先看一次真实的运转：一位患者从进院到疗程结束</w:t>
      </w:r>
    </w:p>
    <w:p>
      <w:pPr>
        <w:spacing w:after="120" w:line="336" w:lineRule="auto"/>
      </w:pPr>
      <w:r>
        <w:rPr>
          <w:rFonts w:ascii="微软雅黑" w:hAnsi="微软雅黑" w:eastAsia="微软雅黑"/>
        </w:rPr>
        <w:t>抽象讲不如看流程。假设一位产后患者在合作医院就诊：</w:t>
      </w:r>
    </w:p>
    <w:p>
      <w:pPr>
        <w:spacing w:after="120" w:line="336" w:lineRule="auto"/>
      </w:pPr>
      <w:r>
        <w:rPr>
          <w:rFonts w:ascii="微软雅黑" w:hAnsi="微软雅黑" w:eastAsia="微软雅黑"/>
        </w:rPr>
        <w:t>第1步 院内评估。医生判断她适不适合居家治疗——有没有禁忌、处于哪个阶段、需不需要先做院内处理。这一步决定她进不进来。</w:t>
      </w:r>
    </w:p>
    <w:p>
      <w:pPr>
        <w:spacing w:after="120" w:line="336" w:lineRule="auto"/>
      </w:pPr>
      <w:r>
        <w:rPr>
          <w:rFonts w:ascii="微软雅黑" w:hAnsi="微软雅黑" w:eastAsia="微软雅黑"/>
        </w:rPr>
        <w:t>第2步 开方案。医生在系统里开具居家治疗方案：做什么项目、用什么参数、几个疗程、每次多久。这一步产生的是医嘱，不是"买个设备回家练"。</w:t>
      </w:r>
    </w:p>
    <w:p>
      <w:pPr>
        <w:spacing w:after="120" w:line="336" w:lineRule="auto"/>
      </w:pPr>
      <w:r>
        <w:rPr>
          <w:rFonts w:ascii="微软雅黑" w:hAnsi="微软雅黑" w:eastAsia="微软雅黑"/>
        </w:rPr>
        <w:t>第3步 取得设备。患者在院内领取（可租可购，按医院的项目安排）。设备是医疗级的，跟医院在用的是同一类设备的家用化形态。</w:t>
      </w:r>
    </w:p>
    <w:p>
      <w:pPr>
        <w:spacing w:after="120" w:line="336" w:lineRule="auto"/>
      </w:pPr>
      <w:r>
        <w:rPr>
          <w:rFonts w:ascii="微软雅黑" w:hAnsi="微软雅黑" w:eastAsia="微软雅黑"/>
        </w:rPr>
        <w:t>第4步 居家治疗。患者在家按医嘱做。关键在这时候系统开始工作：治疗过程数据自动采集、自动回传，不依赖患者手填。</w:t>
      </w:r>
    </w:p>
    <w:p>
      <w:pPr>
        <w:spacing w:after="120" w:line="336" w:lineRule="auto"/>
      </w:pPr>
      <w:r>
        <w:rPr>
          <w:rFonts w:ascii="微软雅黑" w:hAnsi="微软雅黑" w:eastAsia="微软雅黑"/>
        </w:rPr>
        <w:t>第5步 医生远程看数据。医生打开系统能看到：今天做没做、做了多久、参数对不对、依从性怎么走、几个疗程的趋势。这是他没见面的那些天里，患者真实的执行情况。</w:t>
      </w:r>
    </w:p>
    <w:p>
      <w:pPr>
        <w:spacing w:after="120" w:line="336" w:lineRule="auto"/>
      </w:pPr>
      <w:r>
        <w:rPr>
          <w:rFonts w:ascii="微软雅黑" w:hAnsi="微软雅黑" w:eastAsia="微软雅黑"/>
        </w:rPr>
        <w:t>第6步 按需调整。依从性掉了、参数不合适、出现异常——医生可以根据数据调方案，不用等患者下次来院才知道。</w:t>
      </w:r>
    </w:p>
    <w:p>
      <w:pPr>
        <w:spacing w:after="120" w:line="336" w:lineRule="auto"/>
      </w:pPr>
      <w:r>
        <w:rPr>
          <w:rFonts w:ascii="微软雅黑" w:hAnsi="微软雅黑" w:eastAsia="微软雅黑"/>
        </w:rPr>
        <w:t>第7步 疗程结束，做疗效评估。和入院时相比改善了没有、要不要继续、下一段怎么办，由医生依据数据判断。</w:t>
      </w:r>
    </w:p>
    <w:p>
      <w:pPr>
        <w:spacing w:after="120" w:line="336" w:lineRule="auto"/>
      </w:pPr>
      <w:r>
        <w:rPr>
          <w:rFonts w:ascii="微软雅黑" w:hAnsi="微软雅黑" w:eastAsia="微软雅黑"/>
        </w:rPr>
        <w:t>这七步走完，患者其实只来医院一两次，但整个治疗过程一直在医院的医疗管理之下。这是这套模式和"买个设备回家"最本质的区别。</w:t>
      </w:r>
    </w:p>
    <w:p>
      <w:pPr>
        <w:spacing w:after="120" w:line="336" w:lineRule="auto"/>
      </w:pPr>
      <w:r>
        <w:rPr>
          <w:rFonts w:ascii="微软雅黑" w:hAnsi="微软雅黑" w:eastAsia="微软雅黑"/>
        </w:rPr>
        <w:t>二、医生这一端，具体怎么做到"不累"</w:t>
      </w:r>
    </w:p>
    <w:p>
      <w:pPr>
        <w:spacing w:after="120" w:line="336" w:lineRule="auto"/>
      </w:pPr>
      <w:r>
        <w:rPr>
          <w:rFonts w:ascii="微软雅黑" w:hAnsi="微软雅黑" w:eastAsia="微软雅黑"/>
        </w:rPr>
        <w:t>这是所有设计的第一原则，我单独拎出来讲。</w:t>
      </w:r>
    </w:p>
    <w:p>
      <w:pPr>
        <w:spacing w:after="120" w:line="336" w:lineRule="auto"/>
      </w:pPr>
      <w:r>
        <w:rPr>
          <w:rFonts w:ascii="微软雅黑" w:hAnsi="微软雅黑" w:eastAsia="微软雅黑"/>
        </w:rPr>
        <w:t>行业内我看过太多"看起来很完整"的系统，最后死于一个原因：医生嫌麻烦。要填报、要回消息、要走流程、要学新界面——只要有一个环节让医生觉得"多了件事"，这套东西在三周内就会被弃用。</w:t>
      </w:r>
    </w:p>
    <w:p>
      <w:pPr>
        <w:spacing w:after="120" w:line="336" w:lineRule="auto"/>
      </w:pPr>
      <w:r>
        <w:rPr>
          <w:rFonts w:ascii="微软雅黑" w:hAnsi="微软雅黑" w:eastAsia="微软雅黑"/>
        </w:rPr>
        <w:t>所以这套东西在设计上是反过来的：不给医生加动作，只给他减少不确定性。</w:t>
      </w:r>
    </w:p>
    <w:p>
      <w:pPr>
        <w:spacing w:after="120" w:line="336" w:lineRule="auto"/>
      </w:pPr>
      <w:r>
        <w:rPr>
          <w:rFonts w:ascii="微软雅黑" w:hAnsi="微软雅黑" w:eastAsia="微软雅黑"/>
        </w:rPr>
        <w:t>· 不用他录入：数据从设备自动来，不让医生或患者手填</w:t>
      </w:r>
    </w:p>
    <w:p>
      <w:pPr>
        <w:spacing w:after="120" w:line="336" w:lineRule="auto"/>
      </w:pPr>
      <w:r>
        <w:rPr>
          <w:rFonts w:ascii="微软雅黑" w:hAnsi="微软雅黑" w:eastAsia="微软雅黑"/>
        </w:rPr>
        <w:t>· 不用他盯着：系统只把异常（依从性掉了、数据断了、参数偏离）推给他，正常情况不打扰</w:t>
      </w:r>
    </w:p>
    <w:p>
      <w:pPr>
        <w:spacing w:after="120" w:line="336" w:lineRule="auto"/>
      </w:pPr>
      <w:r>
        <w:rPr>
          <w:rFonts w:ascii="微软雅黑" w:hAnsi="微软雅黑" w:eastAsia="微软雅黑"/>
        </w:rPr>
        <w:t>· 不用他找：想看哪个患者，点开就是他的完整执行轨迹，不用翻纸质记录、不用打电话问</w:t>
      </w:r>
    </w:p>
    <w:p>
      <w:pPr>
        <w:spacing w:after="120" w:line="336" w:lineRule="auto"/>
      </w:pPr>
      <w:r>
        <w:rPr>
          <w:rFonts w:ascii="微软雅黑" w:hAnsi="微软雅黑" w:eastAsia="微软雅黑"/>
        </w:rPr>
        <w:t>· 不用他解释：疗效评估所用的数据是客观采集的，不是患者口述的</w:t>
      </w:r>
    </w:p>
    <w:p>
      <w:pPr>
        <w:spacing w:after="120" w:line="336" w:lineRule="auto"/>
      </w:pPr>
      <w:r>
        <w:rPr>
          <w:rFonts w:ascii="微软雅黑" w:hAnsi="微软雅黑" w:eastAsia="微软雅黑"/>
        </w:rPr>
        <w:t>一句话：医生的判断力被放大了，但他多做的动作要尽量接近于零。</w:t>
      </w:r>
    </w:p>
    <w:p>
      <w:pPr>
        <w:spacing w:after="120" w:line="336" w:lineRule="auto"/>
      </w:pPr>
      <w:r>
        <w:rPr>
          <w:rFonts w:ascii="微软雅黑" w:hAnsi="微软雅黑" w:eastAsia="微软雅黑"/>
        </w:rPr>
        <w:t>这不是技术问题，是产品立场问题。做这套东西的人，必须先能理解一位科室医生一天有多忙。</w:t>
      </w:r>
    </w:p>
    <w:p>
      <w:pPr>
        <w:spacing w:after="120" w:line="336" w:lineRule="auto"/>
      </w:pPr>
      <w:r>
        <w:rPr>
          <w:rFonts w:ascii="微软雅黑" w:hAnsi="微软雅黑" w:eastAsia="微软雅黑"/>
        </w:rPr>
        <w:t>三、这五个要素，各自对应哪一段</w:t>
      </w:r>
    </w:p>
    <w:p>
      <w:pPr>
        <w:spacing w:after="120" w:line="336" w:lineRule="auto"/>
      </w:pPr>
      <w:r>
        <w:rPr>
          <w:rFonts w:ascii="微软雅黑" w:hAnsi="微软雅黑" w:eastAsia="微软雅黑"/>
        </w:rPr>
        <w:t>定义部分说过五个要素，这里对应到实际运转的环节，看得更清楚：</w:t>
      </w:r>
    </w:p>
    <w:p>
      <w:pPr>
        <w:spacing w:after="120" w:line="336" w:lineRule="auto"/>
      </w:pPr>
      <w:r>
        <w:rPr>
          <w:rFonts w:ascii="微软雅黑" w:hAnsi="微软雅黑" w:eastAsia="微软雅黑"/>
        </w:rPr>
        <w:t>医疗级家用设备  对应第3、4步。不是消费级健康硬件，有明确治疗参数和适用范围。</w:t>
      </w:r>
    </w:p>
    <w:p>
      <w:pPr>
        <w:spacing w:after="120" w:line="336" w:lineRule="auto"/>
      </w:pPr>
      <w:r>
        <w:rPr>
          <w:rFonts w:ascii="微软雅黑" w:hAnsi="微软雅黑" w:eastAsia="微软雅黑"/>
        </w:rPr>
        <w:t>治疗数据物联网  对应第4步。设备自产数据、自动回传。为什么强调"自动"？因为手填会失真：有患者怕被医生说往好了填，也有患者认真填但记错时间。数据一旦不可信，医生就没法据此判断。</w:t>
      </w:r>
    </w:p>
    <w:p>
      <w:pPr>
        <w:spacing w:after="120" w:line="336" w:lineRule="auto"/>
      </w:pPr>
      <w:r>
        <w:rPr>
          <w:rFonts w:ascii="微软雅黑" w:hAnsi="微软雅黑" w:eastAsia="微软雅黑"/>
        </w:rPr>
        <w:t>院内—居家治疗闭环  对应第1到第7步这个完整循环。这是骨架，断一节就不成立。患者在医院治疗产生的数据，归属医院。</w:t>
      </w:r>
    </w:p>
    <w:p>
      <w:pPr>
        <w:spacing w:after="120" w:line="336" w:lineRule="auto"/>
      </w:pPr>
      <w:r>
        <w:rPr>
          <w:rFonts w:ascii="微软雅黑" w:hAnsi="微软雅黑" w:eastAsia="微软雅黑"/>
        </w:rPr>
        <w:t>六师共管  对应第5、6步之间的"有人管"。角色分六类：医生（开方、调方案、做疗效判断）、护士与康复师（专业指导与随访）、客服（日常联络、答疑、提醒）、系统支持（设备与系统运行保障）、流程督导（确保每个环节按标准执行）。</w:t>
      </w:r>
    </w:p>
    <w:p>
      <w:pPr>
        <w:spacing w:after="120" w:line="336" w:lineRule="auto"/>
      </w:pPr>
      <w:r>
        <w:rPr>
          <w:rFonts w:ascii="微软雅黑" w:hAnsi="微软雅黑" w:eastAsia="微软雅黑"/>
        </w:rPr>
        <w:t>医院主导·第三方赋能  贯穿全程。医疗主体在医院：诊疗服务由合作医疗机构的执业医师提供，开单权、处方权、诊疗决策权都在医院和执业医师手里。圆爱康作为第三方，提供的是设备、系统与运营支持，不介入医疗判断。</w:t>
      </w:r>
    </w:p>
    <w:p>
      <w:pPr>
        <w:spacing w:after="120" w:line="336" w:lineRule="auto"/>
      </w:pPr>
      <w:r>
        <w:rPr>
          <w:rFonts w:ascii="微软雅黑" w:hAnsi="微软雅黑" w:eastAsia="微软雅黑"/>
        </w:rPr>
        <w:t>四、医院为什么愿意配合</w:t>
      </w:r>
    </w:p>
    <w:p>
      <w:pPr>
        <w:spacing w:after="120" w:line="336" w:lineRule="auto"/>
      </w:pPr>
      <w:r>
        <w:rPr>
          <w:rFonts w:ascii="微软雅黑" w:hAnsi="微软雅黑" w:eastAsia="微软雅黑"/>
        </w:rPr>
        <w:t>这是所有合作方最关心的问题。答案在于：这套模式补的是一条本来就该由医院提供、却一直断着的链子。</w:t>
      </w:r>
    </w:p>
    <w:p>
      <w:pPr>
        <w:spacing w:after="120" w:line="336" w:lineRule="auto"/>
      </w:pPr>
      <w:r>
        <w:rPr>
          <w:rFonts w:ascii="微软雅黑" w:hAnsi="微软雅黑" w:eastAsia="微软雅黑"/>
        </w:rPr>
        <w:t>对医院的价值：</w:t>
      </w:r>
    </w:p>
    <w:p>
      <w:pPr>
        <w:spacing w:after="120" w:line="336" w:lineRule="auto"/>
      </w:pPr>
      <w:r>
        <w:rPr>
          <w:rFonts w:ascii="微软雅黑" w:hAnsi="微软雅黑" w:eastAsia="微软雅黑"/>
        </w:rPr>
        <w:t>· 疗程能做满。本该做 20 次的疗程，过去患者做 6 次出院就断了，剩下 14 次的价值蒸发；现在能延续。</w:t>
      </w:r>
    </w:p>
    <w:p>
      <w:pPr>
        <w:spacing w:after="120" w:line="336" w:lineRule="auto"/>
      </w:pPr>
      <w:r>
        <w:rPr>
          <w:rFonts w:ascii="微软雅黑" w:hAnsi="微软雅黑" w:eastAsia="微软雅黑"/>
        </w:rPr>
        <w:t>· 不新增床位、不新增人力。本科室治疗能力延伸到患者家中。</w:t>
      </w:r>
    </w:p>
    <w:p>
      <w:pPr>
        <w:spacing w:after="120" w:line="336" w:lineRule="auto"/>
      </w:pPr>
      <w:r>
        <w:rPr>
          <w:rFonts w:ascii="微软雅黑" w:hAnsi="微软雅黑" w:eastAsia="微软雅黑"/>
        </w:rPr>
        <w:t>· 出院不等于失联。患者还在医院的服务体系内。</w:t>
      </w:r>
    </w:p>
    <w:p>
      <w:pPr>
        <w:spacing w:after="120" w:line="336" w:lineRule="auto"/>
      </w:pPr>
      <w:r>
        <w:rPr>
          <w:rFonts w:ascii="微软雅黑" w:hAnsi="微软雅黑" w:eastAsia="微软雅黑"/>
        </w:rPr>
        <w:t>· 管理有据。科室治疗量、依从性、复诊率，有数据可依。</w:t>
      </w:r>
    </w:p>
    <w:p>
      <w:pPr>
        <w:spacing w:after="120" w:line="336" w:lineRule="auto"/>
      </w:pPr>
      <w:r>
        <w:rPr>
          <w:rFonts w:ascii="微软雅黑" w:hAnsi="微软雅黑" w:eastAsia="微软雅黑"/>
        </w:rPr>
        <w:t>对患者的价值：</w:t>
      </w:r>
    </w:p>
    <w:p>
      <w:pPr>
        <w:spacing w:after="120" w:line="336" w:lineRule="auto"/>
      </w:pPr>
      <w:r>
        <w:rPr>
          <w:rFonts w:ascii="微软雅黑" w:hAnsi="微软雅黑" w:eastAsia="微软雅黑"/>
        </w:rPr>
        <w:t>· 不用为了一次治疗反复跑医院，治疗照常进行</w:t>
      </w:r>
    </w:p>
    <w:p>
      <w:pPr>
        <w:spacing w:after="120" w:line="336" w:lineRule="auto"/>
      </w:pPr>
      <w:r>
        <w:rPr>
          <w:rFonts w:ascii="微软雅黑" w:hAnsi="微软雅黑" w:eastAsia="微软雅黑"/>
        </w:rPr>
        <w:t>· 有人管、有记录、有反馈，知道自己做得对不对</w:t>
      </w:r>
    </w:p>
    <w:p>
      <w:pPr>
        <w:spacing w:after="120" w:line="336" w:lineRule="auto"/>
      </w:pPr>
      <w:r>
        <w:rPr>
          <w:rFonts w:ascii="微软雅黑" w:hAnsi="微软雅黑" w:eastAsia="微软雅黑"/>
        </w:rPr>
        <w:t>· 整个过程在医院的诊疗体系内，不是自己瞎练</w:t>
      </w:r>
    </w:p>
    <w:p>
      <w:pPr>
        <w:spacing w:after="120" w:line="336" w:lineRule="auto"/>
      </w:pPr>
      <w:r>
        <w:rPr>
          <w:rFonts w:ascii="微软雅黑" w:hAnsi="微软雅黑" w:eastAsia="微软雅黑"/>
        </w:rPr>
        <w:t>对医院主体地位的强化：</w:t>
      </w:r>
    </w:p>
    <w:p>
      <w:pPr>
        <w:spacing w:after="120" w:line="336" w:lineRule="auto"/>
      </w:pPr>
      <w:r>
        <w:rPr>
          <w:rFonts w:ascii="微软雅黑" w:hAnsi="微软雅黑" w:eastAsia="微软雅黑"/>
        </w:rPr>
        <w:t>有人担心"第三方进来会不会动医院的权"。事实相反——第三方不碰诊疗决策，医院的治疗能力反而延伸到了院外，服务半径扩大了。这是加法，不是分权。</w:t>
      </w:r>
    </w:p>
    <w:p>
      <w:pPr>
        <w:spacing w:after="120" w:line="336" w:lineRule="auto"/>
      </w:pPr>
      <w:r>
        <w:rPr>
          <w:rFonts w:ascii="微软雅黑" w:hAnsi="微软雅黑" w:eastAsia="微软雅黑"/>
        </w:rPr>
        <w:t>五、患者怎么用、钱怎么走</w:t>
      </w:r>
    </w:p>
    <w:p>
      <w:pPr>
        <w:spacing w:after="120" w:line="336" w:lineRule="auto"/>
      </w:pPr>
      <w:r>
        <w:rPr>
          <w:rFonts w:ascii="微软雅黑" w:hAnsi="微软雅黑" w:eastAsia="微软雅黑"/>
        </w:rPr>
        <w:t>关于费用，有三点必须说清楚，因为它直接决定患者信不信这件事：</w:t>
      </w:r>
    </w:p>
    <w:p>
      <w:pPr>
        <w:spacing w:after="120" w:line="336" w:lineRule="auto"/>
      </w:pPr>
      <w:r>
        <w:rPr>
          <w:rFonts w:ascii="微软雅黑" w:hAnsi="微软雅黑" w:eastAsia="微软雅黑"/>
        </w:rPr>
        <w:t>· 作为院内诊疗服务延伸的项目，由医院自主定价、医院收费</w:t>
      </w:r>
    </w:p>
    <w:p>
      <w:pPr>
        <w:spacing w:after="120" w:line="336" w:lineRule="auto"/>
      </w:pPr>
      <w:r>
        <w:rPr>
          <w:rFonts w:ascii="微软雅黑" w:hAnsi="微软雅黑" w:eastAsia="微软雅黑"/>
        </w:rPr>
        <w:t>· 部分项目患者按疗程自费</w:t>
      </w:r>
    </w:p>
    <w:p>
      <w:pPr>
        <w:spacing w:after="120" w:line="336" w:lineRule="auto"/>
      </w:pPr>
      <w:r>
        <w:rPr>
          <w:rFonts w:ascii="微软雅黑" w:hAnsi="微软雅黑" w:eastAsia="微软雅黑"/>
        </w:rPr>
        <w:t>· 符合当地政策的项目，按当地政策执行</w:t>
      </w:r>
    </w:p>
    <w:p>
      <w:pPr>
        <w:spacing w:after="120" w:line="336" w:lineRule="auto"/>
      </w:pPr>
      <w:r>
        <w:rPr>
          <w:rFonts w:ascii="微软雅黑" w:hAnsi="微软雅黑" w:eastAsia="微软雅黑"/>
        </w:rPr>
        <w:t>收款方是医院。 患者交的费用进入医院账户，第三方不经手患者款项。患者是在向医院购买医疗服务，不是在向一家公司买设备。这个细节很多人不重视，但它是患者愿不愿意做的分水岭。</w:t>
      </w:r>
    </w:p>
    <w:p>
      <w:pPr>
        <w:spacing w:after="120" w:line="336" w:lineRule="auto"/>
      </w:pPr>
      <w:r>
        <w:rPr>
          <w:rFonts w:ascii="微软雅黑" w:hAnsi="微软雅黑" w:eastAsia="微软雅黑"/>
        </w:rPr>
        <w:t>六、几个常见误解，一次说清</w:t>
      </w:r>
    </w:p>
    <w:p>
      <w:pPr>
        <w:spacing w:after="120" w:line="336" w:lineRule="auto"/>
      </w:pPr>
      <w:r>
        <w:rPr>
          <w:rFonts w:ascii="微软雅黑" w:hAnsi="微软雅黑" w:eastAsia="微软雅黑"/>
        </w:rPr>
        <w:t>误解一：这就是卖设备。</w:t>
      </w:r>
    </w:p>
    <w:p>
      <w:pPr>
        <w:spacing w:after="120" w:line="336" w:lineRule="auto"/>
      </w:pPr>
      <w:r>
        <w:rPr>
          <w:rFonts w:ascii="微软雅黑" w:hAnsi="微软雅黑" w:eastAsia="微软雅黑"/>
        </w:rPr>
        <w:t>不是。设备只是五个要素之一，而且不是最关键的。关键在"数据回传 + 有人管"这个闭环。只有设备没有闭环，就会变成储物间里的那七八台。</w:t>
      </w:r>
    </w:p>
    <w:p>
      <w:pPr>
        <w:spacing w:after="120" w:line="336" w:lineRule="auto"/>
      </w:pPr>
      <w:r>
        <w:rPr>
          <w:rFonts w:ascii="微软雅黑" w:hAnsi="微软雅黑" w:eastAsia="微软雅黑"/>
        </w:rPr>
        <w:t>误解二：这就是健康管理。</w:t>
      </w:r>
    </w:p>
    <w:p>
      <w:pPr>
        <w:spacing w:after="120" w:line="336" w:lineRule="auto"/>
      </w:pPr>
      <w:r>
        <w:rPr>
          <w:rFonts w:ascii="微软雅黑" w:hAnsi="微软雅黑" w:eastAsia="微软雅黑"/>
        </w:rPr>
        <w:t>不是。健康管理的目标是"状态好一点"，治疗是有疗程、有参数、有疗效评估的医疗行为。这两个词在监管上是两回事，不能混。</w:t>
      </w:r>
    </w:p>
    <w:p>
      <w:pPr>
        <w:spacing w:after="120" w:line="336" w:lineRule="auto"/>
      </w:pPr>
      <w:r>
        <w:rPr>
          <w:rFonts w:ascii="微软雅黑" w:hAnsi="微软雅黑" w:eastAsia="微软雅黑"/>
        </w:rPr>
        <w:t>误解三：这是要抢医院的病人。</w:t>
      </w:r>
    </w:p>
    <w:p>
      <w:pPr>
        <w:spacing w:after="120" w:line="336" w:lineRule="auto"/>
      </w:pPr>
      <w:r>
        <w:rPr>
          <w:rFonts w:ascii="微软雅黑" w:hAnsi="微软雅黑" w:eastAsia="微软雅黑"/>
        </w:rPr>
        <w:t>恰恰相反。服务全程在医院主体下进行，患者始终是医院的患者。第三方是赋能方，不是替代方。</w:t>
      </w:r>
    </w:p>
    <w:p>
      <w:pPr>
        <w:spacing w:after="120" w:line="336" w:lineRule="auto"/>
      </w:pPr>
      <w:r>
        <w:rPr>
          <w:rFonts w:ascii="微软雅黑" w:hAnsi="微软雅黑" w:eastAsia="微软雅黑"/>
        </w:rPr>
        <w:t>误解四：只有大型医院才做得起来。</w:t>
      </w:r>
    </w:p>
    <w:p>
      <w:pPr>
        <w:spacing w:after="120" w:line="336" w:lineRule="auto"/>
      </w:pPr>
      <w:r>
        <w:rPr>
          <w:rFonts w:ascii="微软雅黑" w:hAnsi="微软雅黑" w:eastAsia="微软雅黑"/>
        </w:rPr>
        <w:t>不是。这套模式与医院等级、床位规模无关。各级医院只要有意愿把本科室的治疗能力延伸到患者家中，都可以开展合作。</w:t>
      </w:r>
    </w:p>
    <w:p>
      <w:pPr>
        <w:spacing w:after="120" w:line="336" w:lineRule="auto"/>
      </w:pPr>
      <w:r>
        <w:rPr>
          <w:rFonts w:ascii="微软雅黑" w:hAnsi="微软雅黑" w:eastAsia="微软雅黑"/>
        </w:rPr>
        <w:t>七、一句话总结</w:t>
      </w:r>
    </w:p>
    <w:p>
      <w:pPr>
        <w:spacing w:after="120" w:line="336" w:lineRule="auto"/>
      </w:pPr>
      <w:r>
        <w:rPr>
          <w:rFonts w:ascii="微软雅黑" w:hAnsi="微软雅黑" w:eastAsia="微软雅黑"/>
        </w:rPr>
        <w:t>智慧家康，即智慧居家康复，是把医院各专科的专业治疗能力延伸到患者家中的服务管理模式。患者在合作医疗机构执业医师指导下，于家中使用医疗级设备完成治疗性训练，治疗数据实时回传医院，形成院内—居家延续治疗闭环。广州圆爱康生物科技有限公司为合作医疗机构提供技术支持与客服运营服务。</w:t>
      </w:r>
    </w:p>
    <w:p>
      <w:pPr>
        <w:spacing w:after="120" w:line="336" w:lineRule="auto"/>
      </w:pPr>
      <w:r>
        <w:rPr>
          <w:rFonts w:ascii="微软雅黑" w:hAnsi="微软雅黑" w:eastAsia="微软雅黑"/>
        </w:rPr>
        <w:t>让治疗，不止于出院。</w:t>
      </w:r>
    </w:p>
    <w:p>
      <w:pPr>
        <w:spacing w:after="120" w:line="336" w:lineRule="auto"/>
      </w:pPr>
      <w:r>
        <w:rPr>
          <w:rFonts w:ascii="微软雅黑" w:hAnsi="微软雅黑" w:eastAsia="微软雅黑"/>
        </w:rPr>
        <w:t>（本文所述服务由合作医疗机构提供，诊疗行为由执业医师依规实施。）</w:t>
      </w:r>
    </w:p>
    <w:p>
      <w:pPr>
        <w:spacing w:after="120" w:line="336" w:lineRule="auto"/>
      </w:pPr>
      <w:r>
        <w:rPr>
          <w:rFonts w:ascii="微软雅黑" w:hAnsi="微软雅黑" w:eastAsia="微软雅黑"/>
        </w:rPr>
        <w:t>【互动引导】</w:t>
      </w:r>
    </w:p>
    <w:p>
      <w:pPr>
        <w:spacing w:after="120" w:line="336" w:lineRule="auto"/>
      </w:pPr>
      <w:r>
        <w:rPr>
          <w:rFonts w:ascii="微软雅黑" w:hAnsi="微软雅黑" w:eastAsia="微软雅黑"/>
        </w:rPr>
        <w:t>如果你的医院也在探索把治疗延伸到患者家中，或者你在过程中遇到过具体的卡点，欢迎留言交流。我们后续会陆续拆解合作中的实际问题。</w:t>
      </w:r>
    </w:p>
    <w:p>
      <w:pPr>
        <w:spacing w:after="120" w:line="336" w:lineRule="auto"/>
      </w:pPr>
      <w:r>
        <w:rPr>
          <w:rFonts w:ascii="微软雅黑" w:hAnsi="微软雅黑" w:eastAsia="微软雅黑"/>
        </w:rPr>
        <w:t>——————————————————————————————</w:t>
      </w:r>
    </w:p>
    <w:p>
      <w:pPr>
        <w:spacing w:after="120" w:line="336" w:lineRule="auto"/>
      </w:pPr>
      <w:r>
        <w:rPr>
          <w:rFonts w:ascii="微软雅黑" w:hAnsi="微软雅黑" w:eastAsia="微软雅黑"/>
        </w:rPr>
        <w:t>配图脚本</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fill="1A478A" w:val="clear"/>
          </w:tcPr>
          <w:p>
            <w:r/>
            <w:r>
              <w:rPr>
                <w:rFonts w:ascii="微软雅黑" w:hAnsi="微软雅黑" w:eastAsia="微软雅黑"/>
                <w:b/>
                <w:color w:val="FFFFFF"/>
                <w:sz w:val="20"/>
              </w:rPr>
              <w:t>图号</w:t>
            </w:r>
          </w:p>
        </w:tc>
        <w:tc>
          <w:tcPr>
            <w:tcW w:type="dxa" w:w="1234"/>
            <w:shd w:fill="1A478A" w:val="clear"/>
          </w:tcPr>
          <w:p>
            <w:r/>
            <w:r>
              <w:rPr>
                <w:rFonts w:ascii="微软雅黑" w:hAnsi="微软雅黑" w:eastAsia="微软雅黑"/>
                <w:b/>
                <w:color w:val="FFFFFF"/>
                <w:sz w:val="20"/>
              </w:rPr>
              <w:t>插入位置</w:t>
            </w:r>
          </w:p>
        </w:tc>
        <w:tc>
          <w:tcPr>
            <w:tcW w:type="dxa" w:w="1234"/>
            <w:shd w:fill="1A478A" w:val="clear"/>
          </w:tcPr>
          <w:p>
            <w:r/>
            <w:r>
              <w:rPr>
                <w:rFonts w:ascii="微软雅黑" w:hAnsi="微软雅黑" w:eastAsia="微软雅黑"/>
                <w:b/>
                <w:color w:val="FFFFFF"/>
                <w:sz w:val="20"/>
              </w:rPr>
              <w:t>画面内容</w:t>
            </w:r>
          </w:p>
        </w:tc>
        <w:tc>
          <w:tcPr>
            <w:tcW w:type="dxa" w:w="1234"/>
            <w:shd w:fill="1A478A" w:val="clear"/>
          </w:tcPr>
          <w:p>
            <w:r/>
            <w:r>
              <w:rPr>
                <w:rFonts w:ascii="微软雅黑" w:hAnsi="微软雅黑" w:eastAsia="微软雅黑"/>
                <w:b/>
                <w:color w:val="FFFFFF"/>
                <w:sz w:val="20"/>
              </w:rPr>
              <w:t>图上文字</w:t>
            </w:r>
          </w:p>
        </w:tc>
        <w:tc>
          <w:tcPr>
            <w:tcW w:type="dxa" w:w="1234"/>
            <w:shd w:fill="1A478A" w:val="clear"/>
          </w:tcPr>
          <w:p>
            <w:r/>
            <w:r>
              <w:rPr>
                <w:rFonts w:ascii="微软雅黑" w:hAnsi="微软雅黑" w:eastAsia="微软雅黑"/>
                <w:b/>
                <w:color w:val="FFFFFF"/>
                <w:sz w:val="20"/>
              </w:rPr>
              <w:t>尺寸比例</w:t>
            </w:r>
          </w:p>
        </w:tc>
        <w:tc>
          <w:tcPr>
            <w:tcW w:type="dxa" w:w="1234"/>
            <w:shd w:fill="1A478A" w:val="clear"/>
          </w:tcPr>
          <w:p>
            <w:r/>
            <w:r>
              <w:rPr>
                <w:rFonts w:ascii="微软雅黑" w:hAnsi="微软雅黑" w:eastAsia="微软雅黑"/>
                <w:b/>
                <w:color w:val="FFFFFF"/>
                <w:sz w:val="20"/>
              </w:rPr>
              <w:t>风格备注</w:t>
            </w:r>
          </w:p>
        </w:tc>
        <w:tc>
          <w:tcPr>
            <w:tcW w:type="dxa" w:w="1234"/>
            <w:shd w:fill="1A478A" w:val="clear"/>
          </w:tcPr>
          <w:p>
            <w:r/>
            <w:r>
              <w:rPr>
                <w:rFonts w:ascii="微软雅黑" w:hAnsi="微软雅黑" w:eastAsia="微软雅黑"/>
                <w:b/>
                <w:color w:val="FFFFFF"/>
                <w:sz w:val="20"/>
              </w:rPr>
              <w:t>来源建议</w:t>
            </w:r>
          </w:p>
        </w:tc>
      </w:tr>
      <w:tr>
        <w:tc>
          <w:tcPr>
            <w:tcW w:type="dxa" w:w="1234"/>
          </w:tcPr>
          <w:p>
            <w:r>
              <w:rPr>
                <w:rFonts w:ascii="微软雅黑" w:hAnsi="微软雅黑" w:eastAsia="微软雅黑"/>
                <w:sz w:val="20"/>
              </w:rPr>
            </w:r>
            <w:r>
              <w:rPr>
                <w:rFonts w:ascii="微软雅黑" w:hAnsi="微软雅黑" w:eastAsia="微软雅黑"/>
                <w:sz w:val="20"/>
              </w:rPr>
              <w:t>1（封面图）</w:t>
            </w:r>
          </w:p>
        </w:tc>
        <w:tc>
          <w:tcPr>
            <w:tcW w:type="dxa" w:w="1234"/>
          </w:tcPr>
          <w:p>
            <w:r>
              <w:rPr>
                <w:rFonts w:ascii="微软雅黑" w:hAnsi="微软雅黑" w:eastAsia="微软雅黑"/>
                <w:sz w:val="20"/>
              </w:rPr>
            </w:r>
            <w:r>
              <w:rPr>
                <w:rFonts w:ascii="微软雅黑" w:hAnsi="微软雅黑" w:eastAsia="微软雅黑"/>
                <w:sz w:val="20"/>
              </w:rPr>
              <w:t>顶部承接句下方</w:t>
            </w:r>
          </w:p>
        </w:tc>
        <w:tc>
          <w:tcPr>
            <w:tcW w:type="dxa" w:w="1234"/>
          </w:tcPr>
          <w:p>
            <w:r>
              <w:rPr>
                <w:rFonts w:ascii="微软雅黑" w:hAnsi="微软雅黑" w:eastAsia="微软雅黑"/>
                <w:sz w:val="20"/>
              </w:rPr>
            </w:r>
            <w:r>
              <w:rPr>
                <w:rFonts w:ascii="微软雅黑" w:hAnsi="微软雅黑" w:eastAsia="微软雅黑"/>
                <w:sz w:val="20"/>
              </w:rPr>
              <w:t>五块拼图围成一圈，中央留白放"智慧家康"四字。五块拼图分别标注：医疗级家用设备、治疗数据物联网、院内—居家治疗闭环、六师共管、医院主导·第三方赋能</w:t>
            </w:r>
          </w:p>
        </w:tc>
        <w:tc>
          <w:tcPr>
            <w:tcW w:type="dxa" w:w="1234"/>
          </w:tcPr>
          <w:p>
            <w:r>
              <w:rPr>
                <w:rFonts w:ascii="微软雅黑" w:hAnsi="微软雅黑" w:eastAsia="微软雅黑"/>
                <w:sz w:val="20"/>
              </w:rPr>
            </w:r>
            <w:r>
              <w:rPr>
                <w:rFonts w:ascii="微软雅黑" w:hAnsi="微软雅黑" w:eastAsia="微软雅黑"/>
                <w:sz w:val="20"/>
              </w:rPr>
              <w:t>智慧家康的五个要素</w:t>
            </w:r>
          </w:p>
        </w:tc>
        <w:tc>
          <w:tcPr>
            <w:tcW w:type="dxa" w:w="1234"/>
          </w:tcPr>
          <w:p>
            <w:r>
              <w:rPr>
                <w:rFonts w:ascii="微软雅黑" w:hAnsi="微软雅黑" w:eastAsia="微软雅黑"/>
                <w:sz w:val="20"/>
              </w:rPr>
            </w:r>
            <w:r>
              <w:rPr>
                <w:rFonts w:ascii="微软雅黑" w:hAnsi="微软雅黑" w:eastAsia="微软雅黑"/>
                <w:sz w:val="20"/>
              </w:rPr>
              <w:t>2.35:1</w:t>
            </w:r>
          </w:p>
        </w:tc>
        <w:tc>
          <w:tcPr>
            <w:tcW w:type="dxa" w:w="1234"/>
          </w:tcPr>
          <w:p>
            <w:r>
              <w:rPr>
                <w:rFonts w:ascii="微软雅黑" w:hAnsi="微软雅黑" w:eastAsia="微软雅黑"/>
                <w:sz w:val="20"/>
              </w:rPr>
            </w:r>
            <w:r>
              <w:rPr>
                <w:rFonts w:ascii="微软雅黑" w:hAnsi="微软雅黑" w:eastAsia="微软雅黑"/>
                <w:sz w:val="20"/>
              </w:rPr>
              <w:t>白底，五块拼图用品牌绿深浅五档区分；中央文字加粗最大</w:t>
            </w:r>
          </w:p>
        </w:tc>
        <w:tc>
          <w:tcPr>
            <w:tcW w:type="dxa" w:w="1234"/>
          </w:tcPr>
          <w:p>
            <w:r>
              <w:rPr>
                <w:rFonts w:ascii="微软雅黑" w:hAnsi="微软雅黑" w:eastAsia="微软雅黑"/>
                <w:sz w:val="20"/>
              </w:rPr>
            </w:r>
            <w:r>
              <w:rPr>
                <w:rFonts w:ascii="微软雅黑" w:hAnsi="微软雅黑" w:eastAsia="微软雅黑"/>
                <w:sz w:val="20"/>
              </w:rPr>
              <w:t>自绘（信息图）</w:t>
            </w:r>
          </w:p>
        </w:tc>
      </w:tr>
      <w:tr>
        <w:tc>
          <w:tcPr>
            <w:tcW w:type="dxa" w:w="1234"/>
            <w:shd w:fill="F5F7FA" w:val="clear"/>
          </w:tcPr>
          <w:p>
            <w:r>
              <w:rPr>
                <w:rFonts w:ascii="微软雅黑" w:hAnsi="微软雅黑" w:eastAsia="微软雅黑"/>
                <w:sz w:val="20"/>
              </w:rPr>
            </w:r>
            <w:r>
              <w:rPr>
                <w:rFonts w:ascii="微软雅黑" w:hAnsi="微软雅黑" w:eastAsia="微软雅黑"/>
                <w:sz w:val="20"/>
              </w:rPr>
              <w:t>2</w:t>
            </w:r>
          </w:p>
        </w:tc>
        <w:tc>
          <w:tcPr>
            <w:tcW w:type="dxa" w:w="1234"/>
            <w:shd w:fill="F5F7FA" w:val="clear"/>
          </w:tcPr>
          <w:p>
            <w:r>
              <w:rPr>
                <w:rFonts w:ascii="微软雅黑" w:hAnsi="微软雅黑" w:eastAsia="微软雅黑"/>
                <w:sz w:val="20"/>
              </w:rPr>
            </w:r>
            <w:r>
              <w:rPr>
                <w:rFonts w:ascii="微软雅黑" w:hAnsi="微软雅黑" w:eastAsia="微软雅黑"/>
                <w:sz w:val="20"/>
              </w:rPr>
              <w:t>"三、为什么市面上的居家康复这么多，问题还在"小节后</w:t>
            </w:r>
          </w:p>
        </w:tc>
        <w:tc>
          <w:tcPr>
            <w:tcW w:type="dxa" w:w="1234"/>
            <w:shd w:fill="F5F7FA" w:val="clear"/>
          </w:tcPr>
          <w:p>
            <w:r>
              <w:rPr>
                <w:rFonts w:ascii="微软雅黑" w:hAnsi="微软雅黑" w:eastAsia="微软雅黑"/>
                <w:sz w:val="20"/>
              </w:rPr>
            </w:r>
            <w:r>
              <w:rPr>
                <w:rFonts w:ascii="微软雅黑" w:hAnsi="微软雅黑" w:eastAsia="微软雅黑"/>
                <w:sz w:val="20"/>
              </w:rPr>
              <w:t>左右两栏对照表图形化：左栏【监测类】六行（做什么／典型产品／有无疗程／有无参数／有无疗效评估／是否医疗行为），右栏【治疗类】同样六行；两栏中间一道竖线分隔</w:t>
            </w:r>
          </w:p>
        </w:tc>
        <w:tc>
          <w:tcPr>
            <w:tcW w:type="dxa" w:w="1234"/>
            <w:shd w:fill="F5F7FA" w:val="clear"/>
          </w:tcPr>
          <w:p>
            <w:r>
              <w:rPr>
                <w:rFonts w:ascii="微软雅黑" w:hAnsi="微软雅黑" w:eastAsia="微软雅黑"/>
                <w:sz w:val="20"/>
              </w:rPr>
            </w:r>
            <w:r>
              <w:rPr>
                <w:rFonts w:ascii="微软雅黑" w:hAnsi="微软雅黑" w:eastAsia="微软雅黑"/>
                <w:sz w:val="20"/>
              </w:rPr>
              <w:t>监测类 vs 治疗类：分水岭在哪</w:t>
            </w:r>
          </w:p>
        </w:tc>
        <w:tc>
          <w:tcPr>
            <w:tcW w:type="dxa" w:w="1234"/>
            <w:shd w:fill="F5F7FA" w:val="clear"/>
          </w:tcPr>
          <w:p>
            <w:r>
              <w:rPr>
                <w:rFonts w:ascii="微软雅黑" w:hAnsi="微软雅黑" w:eastAsia="微软雅黑"/>
                <w:sz w:val="20"/>
              </w:rPr>
            </w:r>
            <w:r>
              <w:rPr>
                <w:rFonts w:ascii="微软雅黑" w:hAnsi="微软雅黑" w:eastAsia="微软雅黑"/>
                <w:sz w:val="20"/>
              </w:rPr>
              <w:t>16:9</w:t>
            </w:r>
          </w:p>
        </w:tc>
        <w:tc>
          <w:tcPr>
            <w:tcW w:type="dxa" w:w="1234"/>
            <w:shd w:fill="F5F7FA" w:val="clear"/>
          </w:tcPr>
          <w:p>
            <w:r>
              <w:rPr>
                <w:rFonts w:ascii="微软雅黑" w:hAnsi="微软雅黑" w:eastAsia="微软雅黑"/>
                <w:sz w:val="20"/>
              </w:rPr>
            </w:r>
            <w:r>
              <w:rPr>
                <w:rFonts w:ascii="微软雅黑" w:hAnsi="微软雅黑" w:eastAsia="微软雅黑"/>
                <w:sz w:val="20"/>
              </w:rPr>
              <w:t>左栏灰调，右栏品牌绿调；六行逐条对齐，行距统一便于横向读</w:t>
            </w:r>
          </w:p>
        </w:tc>
        <w:tc>
          <w:tcPr>
            <w:tcW w:type="dxa" w:w="1234"/>
            <w:shd w:fill="F5F7FA" w:val="clear"/>
          </w:tcPr>
          <w:p>
            <w:r>
              <w:rPr>
                <w:rFonts w:ascii="微软雅黑" w:hAnsi="微软雅黑" w:eastAsia="微软雅黑"/>
                <w:sz w:val="20"/>
              </w:rPr>
            </w:r>
            <w:r>
              <w:rPr>
                <w:rFonts w:ascii="微软雅黑" w:hAnsi="微软雅黑" w:eastAsia="微软雅黑"/>
                <w:sz w:val="20"/>
              </w:rPr>
              <w:t>自绘（对照表图形化，知乎可放大看，字可稍小）</w:t>
            </w:r>
          </w:p>
        </w:tc>
      </w:tr>
      <w:tr>
        <w:tc>
          <w:tcPr>
            <w:tcW w:type="dxa" w:w="1234"/>
          </w:tcPr>
          <w:p>
            <w:r>
              <w:rPr>
                <w:rFonts w:ascii="微软雅黑" w:hAnsi="微软雅黑" w:eastAsia="微软雅黑"/>
                <w:sz w:val="20"/>
              </w:rPr>
            </w:r>
            <w:r>
              <w:rPr>
                <w:rFonts w:ascii="微软雅黑" w:hAnsi="微软雅黑" w:eastAsia="微软雅黑"/>
                <w:sz w:val="20"/>
              </w:rPr>
              <w:t>3</w:t>
            </w:r>
          </w:p>
        </w:tc>
        <w:tc>
          <w:tcPr>
            <w:tcW w:type="dxa" w:w="1234"/>
          </w:tcPr>
          <w:p>
            <w:r>
              <w:rPr>
                <w:rFonts w:ascii="微软雅黑" w:hAnsi="微软雅黑" w:eastAsia="微软雅黑"/>
                <w:sz w:val="20"/>
              </w:rPr>
            </w:r>
            <w:r>
              <w:rPr>
                <w:rFonts w:ascii="微软雅黑" w:hAnsi="微软雅黑" w:eastAsia="微软雅黑"/>
                <w:sz w:val="20"/>
              </w:rPr>
              <w:t>"六、患者怎么用、钱怎么走"小节后</w:t>
            </w:r>
          </w:p>
        </w:tc>
        <w:tc>
          <w:tcPr>
            <w:tcW w:type="dxa" w:w="1234"/>
          </w:tcPr>
          <w:p>
            <w:r>
              <w:rPr>
                <w:rFonts w:ascii="微软雅黑" w:hAnsi="微软雅黑" w:eastAsia="微软雅黑"/>
                <w:sz w:val="20"/>
              </w:rPr>
            </w:r>
            <w:r>
              <w:rPr>
                <w:rFonts w:ascii="微软雅黑" w:hAnsi="微软雅黑" w:eastAsia="微软雅黑"/>
                <w:sz w:val="20"/>
              </w:rPr>
              <w:t>横向七步流程图，每步一个方框加箭头：就诊评估  判断适合  医师开方案  取得设备  居家治疗（数据自动回传） 医师查看调整  疗程疗效评估</w:t>
            </w:r>
          </w:p>
        </w:tc>
        <w:tc>
          <w:tcPr>
            <w:tcW w:type="dxa" w:w="1234"/>
          </w:tcPr>
          <w:p>
            <w:r>
              <w:rPr>
                <w:rFonts w:ascii="微软雅黑" w:hAnsi="微软雅黑" w:eastAsia="微软雅黑"/>
                <w:sz w:val="20"/>
              </w:rPr>
            </w:r>
            <w:r>
              <w:rPr>
                <w:rFonts w:ascii="微软雅黑" w:hAnsi="微软雅黑" w:eastAsia="微软雅黑"/>
                <w:sz w:val="20"/>
              </w:rPr>
              <w:t>从院内评估到居家疗程结束</w:t>
            </w:r>
          </w:p>
        </w:tc>
        <w:tc>
          <w:tcPr>
            <w:tcW w:type="dxa" w:w="1234"/>
          </w:tcPr>
          <w:p>
            <w:r>
              <w:rPr>
                <w:rFonts w:ascii="微软雅黑" w:hAnsi="微软雅黑" w:eastAsia="微软雅黑"/>
                <w:sz w:val="20"/>
              </w:rPr>
            </w:r>
            <w:r>
              <w:rPr>
                <w:rFonts w:ascii="微软雅黑" w:hAnsi="微软雅黑" w:eastAsia="微软雅黑"/>
                <w:sz w:val="20"/>
              </w:rPr>
              <w:t>16:9</w:t>
            </w:r>
          </w:p>
        </w:tc>
        <w:tc>
          <w:tcPr>
            <w:tcW w:type="dxa" w:w="1234"/>
          </w:tcPr>
          <w:p>
            <w:r>
              <w:rPr>
                <w:rFonts w:ascii="微软雅黑" w:hAnsi="微软雅黑" w:eastAsia="微软雅黑"/>
                <w:sz w:val="20"/>
              </w:rPr>
            </w:r>
            <w:r>
              <w:rPr>
                <w:rFonts w:ascii="微软雅黑" w:hAnsi="微软雅黑" w:eastAsia="微软雅黑"/>
                <w:sz w:val="20"/>
              </w:rPr>
              <w:t>品牌绿方框、辅助金箭头；第四步标注"可租可购"</w:t>
            </w:r>
          </w:p>
        </w:tc>
        <w:tc>
          <w:tcPr>
            <w:tcW w:type="dxa" w:w="1234"/>
          </w:tcPr>
          <w:p>
            <w:r>
              <w:rPr>
                <w:rFonts w:ascii="微软雅黑" w:hAnsi="微软雅黑" w:eastAsia="微软雅黑"/>
                <w:sz w:val="20"/>
              </w:rPr>
            </w:r>
            <w:r>
              <w:rPr>
                <w:rFonts w:ascii="微软雅黑" w:hAnsi="微软雅黑" w:eastAsia="微软雅黑"/>
                <w:sz w:val="20"/>
              </w:rPr>
              <w:t>自绘（流程图）</w:t>
            </w:r>
          </w:p>
        </w:tc>
      </w:tr>
      <w:tr>
        <w:tc>
          <w:tcPr>
            <w:tcW w:type="dxa" w:w="1234"/>
            <w:shd w:fill="F5F7FA" w:val="clear"/>
          </w:tcPr>
          <w:p>
            <w:r>
              <w:rPr>
                <w:rFonts w:ascii="微软雅黑" w:hAnsi="微软雅黑" w:eastAsia="微软雅黑"/>
                <w:sz w:val="20"/>
              </w:rPr>
            </w:r>
            <w:r>
              <w:rPr>
                <w:rFonts w:ascii="微软雅黑" w:hAnsi="微软雅黑" w:eastAsia="微软雅黑"/>
                <w:sz w:val="20"/>
              </w:rPr>
              <w:t>4</w:t>
            </w:r>
          </w:p>
        </w:tc>
        <w:tc>
          <w:tcPr>
            <w:tcW w:type="dxa" w:w="1234"/>
            <w:shd w:fill="F5F7FA" w:val="clear"/>
          </w:tcPr>
          <w:p>
            <w:r>
              <w:rPr>
                <w:rFonts w:ascii="微软雅黑" w:hAnsi="微软雅黑" w:eastAsia="微软雅黑"/>
                <w:sz w:val="20"/>
              </w:rPr>
            </w:r>
            <w:r>
              <w:rPr>
                <w:rFonts w:ascii="微软雅黑" w:hAnsi="微软雅黑" w:eastAsia="微软雅黑"/>
                <w:sz w:val="20"/>
              </w:rPr>
              <w:t>"要素⑤ 医院主导·第三方赋能"小节后</w:t>
            </w:r>
          </w:p>
        </w:tc>
        <w:tc>
          <w:tcPr>
            <w:tcW w:type="dxa" w:w="1234"/>
            <w:shd w:fill="F5F7FA" w:val="clear"/>
          </w:tcPr>
          <w:p>
            <w:r>
              <w:rPr>
                <w:rFonts w:ascii="微软雅黑" w:hAnsi="微软雅黑" w:eastAsia="微软雅黑"/>
                <w:sz w:val="20"/>
              </w:rPr>
            </w:r>
            <w:r>
              <w:rPr>
                <w:rFonts w:ascii="微软雅黑" w:hAnsi="微软雅黑" w:eastAsia="微软雅黑"/>
                <w:sz w:val="20"/>
              </w:rPr>
              <w:t>三方责任边界示意图：左侧"医院"框内写（诊疗主体／开单权／处方权／诊疗决策权），右侧"圆爱康"框内写（设备／系统／运营支持），两框之间一条明确竖线，线上标"不介入医疗判断"</w:t>
            </w:r>
          </w:p>
        </w:tc>
        <w:tc>
          <w:tcPr>
            <w:tcW w:type="dxa" w:w="1234"/>
            <w:shd w:fill="F5F7FA" w:val="clear"/>
          </w:tcPr>
          <w:p>
            <w:r>
              <w:rPr>
                <w:rFonts w:ascii="微软雅黑" w:hAnsi="微软雅黑" w:eastAsia="微软雅黑"/>
                <w:sz w:val="20"/>
              </w:rPr>
            </w:r>
            <w:r>
              <w:rPr>
                <w:rFonts w:ascii="微软雅黑" w:hAnsi="微软雅黑" w:eastAsia="微软雅黑"/>
                <w:sz w:val="20"/>
              </w:rPr>
              <w:t>医院主导 · 第三方赋能</w:t>
            </w:r>
          </w:p>
        </w:tc>
        <w:tc>
          <w:tcPr>
            <w:tcW w:type="dxa" w:w="1234"/>
            <w:shd w:fill="F5F7FA" w:val="clear"/>
          </w:tcPr>
          <w:p>
            <w:r>
              <w:rPr>
                <w:rFonts w:ascii="微软雅黑" w:hAnsi="微软雅黑" w:eastAsia="微软雅黑"/>
                <w:sz w:val="20"/>
              </w:rPr>
            </w:r>
            <w:r>
              <w:rPr>
                <w:rFonts w:ascii="微软雅黑" w:hAnsi="微软雅黑" w:eastAsia="微软雅黑"/>
                <w:sz w:val="20"/>
              </w:rPr>
              <w:t>16:9</w:t>
            </w:r>
          </w:p>
        </w:tc>
        <w:tc>
          <w:tcPr>
            <w:tcW w:type="dxa" w:w="1234"/>
            <w:shd w:fill="F5F7FA" w:val="clear"/>
          </w:tcPr>
          <w:p>
            <w:r>
              <w:rPr>
                <w:rFonts w:ascii="微软雅黑" w:hAnsi="微软雅黑" w:eastAsia="微软雅黑"/>
                <w:sz w:val="20"/>
              </w:rPr>
            </w:r>
            <w:r>
              <w:rPr>
                <w:rFonts w:ascii="微软雅黑" w:hAnsi="微软雅黑" w:eastAsia="微软雅黑"/>
                <w:sz w:val="20"/>
              </w:rPr>
              <w:t>医院框用品牌绿实底，第三方框用浅绿描边；中间竖线用辅助金虚线</w:t>
            </w:r>
          </w:p>
        </w:tc>
        <w:tc>
          <w:tcPr>
            <w:tcW w:type="dxa" w:w="1234"/>
            <w:shd w:fill="F5F7FA" w:val="clear"/>
          </w:tcPr>
          <w:p>
            <w:r>
              <w:rPr>
                <w:rFonts w:ascii="微软雅黑" w:hAnsi="微软雅黑" w:eastAsia="微软雅黑"/>
                <w:sz w:val="20"/>
              </w:rPr>
            </w:r>
            <w:r>
              <w:rPr>
                <w:rFonts w:ascii="微软雅黑" w:hAnsi="微软雅黑" w:eastAsia="微软雅黑"/>
                <w:sz w:val="20"/>
              </w:rPr>
              <w:t>自绘</w:t>
            </w:r>
          </w:p>
        </w:tc>
      </w:tr>
    </w:tbl>
    <w:p/>
    <w:p>
      <w:pPr>
        <w:spacing w:after="120" w:line="336" w:lineRule="auto"/>
      </w:pPr>
      <w:r>
        <w:rPr>
          <w:rFonts w:ascii="微软雅黑" w:hAnsi="微软雅黑" w:eastAsia="微软雅黑"/>
        </w:rPr>
        <w:t>配色与风格规范</w:t>
      </w:r>
    </w:p>
    <w:p>
      <w:pPr>
        <w:spacing w:after="120" w:line="336" w:lineRule="auto"/>
      </w:pPr>
      <w:r>
        <w:rPr>
          <w:rFonts w:ascii="微软雅黑" w:hAnsi="微软雅黑" w:eastAsia="微软雅黑"/>
        </w:rPr>
        <w:t>· 品牌绿 #0b6b5c（主色，用于标题字、图形主体）</w:t>
      </w:r>
    </w:p>
    <w:p>
      <w:pPr>
        <w:spacing w:after="120" w:line="336" w:lineRule="auto"/>
      </w:pPr>
      <w:r>
        <w:rPr>
          <w:rFonts w:ascii="微软雅黑" w:hAnsi="微软雅黑" w:eastAsia="微软雅黑"/>
        </w:rPr>
        <w:t>· 辅助金 #c9a227（点缀，用于强调线、数字、箭头）</w:t>
      </w:r>
    </w:p>
    <w:p>
      <w:pPr>
        <w:spacing w:after="120" w:line="336" w:lineRule="auto"/>
      </w:pPr>
      <w:r>
        <w:rPr>
          <w:rFonts w:ascii="微软雅黑" w:hAnsi="微软雅黑" w:eastAsia="微软雅黑"/>
        </w:rPr>
        <w:t>· 白底为主，浅灰 #f5f7fa 作分区底</w:t>
      </w:r>
    </w:p>
    <w:p>
      <w:pPr>
        <w:spacing w:after="120" w:line="336" w:lineRule="auto"/>
      </w:pPr>
      <w:r>
        <w:rPr>
          <w:rFonts w:ascii="微软雅黑" w:hAnsi="微软雅黑" w:eastAsia="微软雅黑"/>
        </w:rPr>
        <w:t>· 字体：微软雅黑（标题加粗）；不用手写体、不用艺术字</w:t>
      </w:r>
    </w:p>
    <w:p>
      <w:pPr>
        <w:spacing w:after="120" w:line="336" w:lineRule="auto"/>
      </w:pPr>
      <w:r>
        <w:rPr>
          <w:rFonts w:ascii="微软雅黑" w:hAnsi="微软雅黑" w:eastAsia="微软雅黑"/>
        </w:rPr>
        <w:t>· 图形优先：图标、箭头、流程框、对照栏。不用网上下载的医生、护士、老人摆拍照片</w:t>
      </w:r>
    </w:p>
    <w:p>
      <w:pPr>
        <w:spacing w:after="120" w:line="336" w:lineRule="auto"/>
      </w:pPr>
      <w:r>
        <w:rPr>
          <w:rFonts w:ascii="微软雅黑" w:hAnsi="微软雅黑" w:eastAsia="微软雅黑"/>
        </w:rPr>
        <w:t>· 封面图统一在右下角放品牌 logo 小尺寸（约画面宽度 8%，不抢眼）</w:t>
      </w:r>
    </w:p>
    <w:p>
      <w:pPr>
        <w:spacing w:after="120" w:line="336" w:lineRule="auto"/>
      </w:pPr>
      <w:r>
        <w:rPr>
          <w:rFonts w:ascii="微软雅黑" w:hAnsi="微软雅黑" w:eastAsia="微软雅黑"/>
        </w:rPr>
        <w:t>排版建议</w:t>
      </w:r>
    </w:p>
    <w:p>
      <w:pPr>
        <w:spacing w:after="120" w:line="336" w:lineRule="auto"/>
      </w:pPr>
      <w:r>
        <w:rPr>
          <w:rFonts w:ascii="微软雅黑" w:hAnsi="微软雅黑" w:eastAsia="微软雅黑"/>
        </w:rPr>
        <w:t>· 每段不超过 4 行，手机上一屏能读完一段</w:t>
      </w:r>
    </w:p>
    <w:p>
      <w:pPr>
        <w:spacing w:after="120" w:line="336" w:lineRule="auto"/>
      </w:pPr>
      <w:r>
        <w:rPr>
          <w:rFonts w:ascii="微软雅黑" w:hAnsi="微软雅黑" w:eastAsia="微软雅黑"/>
        </w:rPr>
        <w:t>· 小标题用品牌绿加粗，和正文拉开层次</w:t>
      </w:r>
    </w:p>
    <w:p>
      <w:pPr>
        <w:spacing w:after="120" w:line="336" w:lineRule="auto"/>
      </w:pPr>
      <w:r>
        <w:rPr>
          <w:rFonts w:ascii="微软雅黑" w:hAnsi="微软雅黑" w:eastAsia="微软雅黑"/>
        </w:rPr>
        <w:t>· 封面图决定打开率，标题字要占画面三分之二</w:t>
      </w:r>
    </w:p>
    <w:p>
      <w:pPr>
        <w:spacing w:after="120" w:line="336" w:lineRule="auto"/>
      </w:pPr>
      <w:r>
        <w:rPr>
          <w:rFonts w:ascii="微软雅黑" w:hAnsi="微软雅黑" w:eastAsia="微软雅黑"/>
        </w:rPr>
        <w:t>· 每张图之间至少隔 1 个自然段，不要连着放</w:t>
      </w:r>
    </w:p>
    <w:p>
      <w:pPr>
        <w:spacing w:after="120" w:line="336" w:lineRule="auto"/>
      </w:pPr>
      <w:r>
        <w:rPr>
          <w:rFonts w:ascii="微软雅黑" w:hAnsi="微软雅黑" w:eastAsia="微软雅黑"/>
        </w:rPr>
        <w:t>发布检查清单</w:t>
      </w:r>
    </w:p>
    <w:p>
      <w:pPr>
        <w:spacing w:after="120" w:line="336" w:lineRule="auto"/>
      </w:pPr>
      <w:r>
        <w:rPr>
          <w:rFonts w:ascii="微软雅黑" w:hAnsi="微软雅黑" w:eastAsia="微软雅黑"/>
        </w:rPr>
        <w:t>· [ ] 配图已按本表全部做好，图上文字与表内一字不差</w:t>
      </w:r>
    </w:p>
    <w:p>
      <w:pPr>
        <w:spacing w:after="120" w:line="336" w:lineRule="auto"/>
      </w:pPr>
      <w:r>
        <w:rPr>
          <w:rFonts w:ascii="微软雅黑" w:hAnsi="微软雅黑" w:eastAsia="微软雅黑"/>
        </w:rPr>
        <w:t>· [ ] 封面图尺寸比例已按本表设置</w:t>
      </w:r>
    </w:p>
    <w:p>
      <w:pPr>
        <w:spacing w:after="120" w:line="336" w:lineRule="auto"/>
      </w:pPr>
      <w:r>
        <w:rPr>
          <w:rFonts w:ascii="微软雅黑" w:hAnsi="微软雅黑" w:eastAsia="微软雅黑"/>
        </w:rPr>
        <w:t>· [ ] 未使用网上下载的医生护士摆拍照片</w:t>
      </w:r>
    </w:p>
    <w:p>
      <w:pPr>
        <w:spacing w:after="120" w:line="336" w:lineRule="auto"/>
      </w:pPr>
      <w:r>
        <w:rPr>
          <w:rFonts w:ascii="微软雅黑" w:hAnsi="微软雅黑" w:eastAsia="微软雅黑"/>
        </w:rPr>
        <w:t>· [ ] 未出现医院全名、医生姓名、患者真实照片</w:t>
      </w:r>
    </w:p>
    <w:p>
      <w:pPr>
        <w:spacing w:after="120" w:line="336" w:lineRule="auto"/>
      </w:pPr>
      <w:r>
        <w:rPr>
          <w:rFonts w:ascii="微软雅黑" w:hAnsi="微软雅黑" w:eastAsia="微软雅黑"/>
        </w:rPr>
        <w:t>· [ ] 未出现"上门康复服务""包治""根治""治愈率"等表述</w:t>
      </w:r>
    </w:p>
    <w:p>
      <w:pPr>
        <w:spacing w:after="120" w:line="336" w:lineRule="auto"/>
      </w:pPr>
      <w:r>
        <w:rPr>
          <w:rFonts w:ascii="微软雅黑" w:hAnsi="微软雅黑" w:eastAsia="微软雅黑"/>
        </w:rPr>
        <w:t>· [ ] 品牌 logo 未放大到抢眼位置</w:t>
      </w:r>
    </w:p>
    <w:p>
      <w:pPr>
        <w:spacing w:after="120" w:line="336" w:lineRule="auto"/>
      </w:pPr>
      <w:r>
        <w:rPr>
          <w:rFonts w:ascii="微软雅黑" w:hAnsi="微软雅黑" w:eastAsia="微软雅黑"/>
        </w:rPr>
        <w:t>· [ ] 全文未出现具体承诺性效果表述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微软雅黑"/>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微软雅黑"/>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微软雅黑"/>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eastAsia="微软雅黑"/>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