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36" w:lineRule="auto"/>
      </w:pPr>
      <w:r>
        <w:rPr>
          <w:rFonts w:ascii="微软雅黑" w:hAnsi="微软雅黑" w:eastAsia="微软雅黑"/>
        </w:rPr>
        <w:t>【医院公众号 · 第3周 · 稿3/3 · 新模式发布切入】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 本文为稿库备用稿，提交医院前须经科室确认数字与患者反馈。医院全名、医生姓名、具体数字一律留空待填。）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（深拆切入点：新模式发布 —— 从"我院把治疗延伸到患者家中"这个新模式切入，主角=科室，腔调=新技术/新模式介绍）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【提交前必须确认的三件事】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一、医院方口径：本文提交流程是"科室成果分享"还是"新技术介绍"？语气随此调整。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二、朋友圈层：本文措辞是否需经医院宣传科预审？若需，正文中所有"我们"是否需改为具体科室名？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三、数字口径：文中【】处需填入真实数据，由科室提供；未确认前不得使用任何数字。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标题（3选1）：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A.《我们把盆底康复延伸到了患者家中》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B.《治疗不只在病房：一项把康复带回家的新做法》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C.《不出门的盆底康复，是怎么做到的》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正文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盆底康复有个老问题：疗效靠疗程，患者却常常来不满疗程。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过去我们的做法是尽量把患者"留"在医院——加号、排班、提醒。但患者的时间是硬的：上班、带娃、路远，任何一个理由都足以让治疗停在中途。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今年，我们在科室里推行了一个新做法：把治疗的一部分，延伸到患者家中完成。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这篇就讲清楚，我们是怎么做的、患者怎么用、以及为什么这么做是安全的。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一、这个做法解决的是什么问题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先摆事实：盆底康复需要完整疗程，中断会让前面的治疗打折扣。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而中断的原因，绝大多数不是患者不想治，是实在来不了。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所以问题的本质不是"患者不配合"，而是"治疗只能发生在医院"这个前提本身限制了好疗效。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我们希望解决的，就是这个前提。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二、具体怎么做：四个环节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第一环：院内评估，医师开方案。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一切从院内开始。患者到我院盆底康复科，由医师完成盆底功能评估，明确诊断，判断是否适合这种治疗方式。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评估之后，医师开具治疗单——方案、参数、疗程安排，全部由医师确定。开方权始终在医师手中，不因为患者回家而转移。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第二环：居家执行，用医疗级设备。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患者在【科室确认后可写：经评估合格后】在家里使用医疗级治疗设备，按医师设定的方案完成治疗性训练。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需要强调的是：这里用的是有明确治疗参数和适用范围的医疗级设备，不是消费级的健身或保健器械，也不是"自己在家里随便练练"。设备是院内同类型治疗设备的家用化版本。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第三环：数据回传，医师看得见。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这是整套做法里最关键的一环。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患者在家治疗的过程数据，由设备自动采集、实时回传到科室系统。医师在院内看到的，是患者真实的执行情况——做没做、做了多久、依从性如何。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数据是自动产生的，不需要患者手动记录。这一点决定了数据可不可信：手填的记录容易失真，而不可靠的数据无法支撑临床判断。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第四环：随访调整，有人承接。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数据回传之后，由一支完整的服务团队承接：患者的疑问有人解答、依从性下降有人提醒、需要调整方案时把依据送到医师面前、设备故障有人处理。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这支团队按六类角色分工协作——医师、护士、康复师，以及客服、系统支持、流程督导。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一句话概括：院内的事医院做，患者身边的事有人兜。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【图1：院内—居家治疗闭环四步示意图】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三、患者怎么用：三步上手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对患者来说，这件事比想象中简单：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到院评估。 医师判断是否适合居家治疗。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学会操作。 有专人指导设备使用，参数已按方案设定好，患者不需要自己调。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在家治疗，正常生活。 按方案完成治疗，数据自动回传，有疑问随时可问。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不需要患者成为"半个专家"，该懂的事有人教，该调的事有人管。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四、为什么这么做是安全的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这一点我们格外重视，说清楚：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① 医疗判断始终在医院。 是否适合、用什么方案、什么时候调整、什么时候结束——全部由我院执业医师决定。居家只是改变了执行地点，没有改变医疗决策的归属。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② 用的是医疗级设备。 有注册资质、有明确治疗参数和适用范围，不是消费类电子器械。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③ 过程可追溯。 治疗数据实时回传，医师能看到真实执行情况，不存在"患者回家后失控"的情况。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④ 服务有分工。 六类角色各司其职，疑问、异常、设备问题都有对应的人承接。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⑤ 不适合的不勉强。 是否居家由医师评估决定，评估下来不适合的，继续在院内治疗。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五、开展以来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【此处填入科室实际数据，例如：已开展居家治疗的患者数、疗程完成率变化、患者满意度等。数据须由科室提供并确认后方可使用。】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从我们的观察看，最直接的变化有三点：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疗程完成度提高。 原本容易中断的治疗，现在能延续下去。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随访有依据。 过去随访靠患者口述，现在有过程数据可查。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患者负担减轻。 不必为每次治疗往返医院，时间成本明显下降。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【图2：居家治疗场景示意（简笔轮廓，不用真实患者照片）】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六、关于这件事的边界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需要说明白：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诊疗服务由本院提供，方案由本院执业医师制定。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合作的技术服务机构作为辅助方，为医院提供设备、系统与运营支持，不介入医疗判断。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患者支付的费用进入本院账户。</w:t>
      </w:r>
    </w:p>
    <w:p>
      <w:pPr>
        <w:pStyle w:val="ListBullet"/>
        <w:spacing w:after="60"/>
      </w:pPr>
      <w:r>
        <w:rPr>
          <w:rFonts w:ascii="微软雅黑" w:hAnsi="微软雅黑" w:eastAsia="微软雅黑"/>
        </w:rPr>
        <w:t>本模式不涉及入户医疗服务——患者在家用的是设备，医疗决策在医院，服务团队做的是运营承接。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七、写给同行和患者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对患者：如果您正被盆底问题困扰，欢迎到我院盆底康复科评估，看看是不是适合这种方式。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对同行：如果您的科室也面临"疗程做不满"的问题，欢迎交流。我们踩过的坑、理出来的路子，都可以聊。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让治疗不止于医院，是我们正在做的事。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科室地址：＿＿＿＿＿＿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咨询电话：＿＿＿＿＿＿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【内部备注 · 不得随文发出】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全文不得出现技术服务机构名称（含圆爱康、圆医），仅可写"第三方技术服务机构"。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不得出现"上门"相关表述。本模式不涉及上门医疗服务。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本文属"新技术/新模式介绍"腔调，但仍不得写成"我院开展新项目/新服务"的行政通知腔——主线是"我们遇到了什么问题、怎么解决的"，不是"我院隆重推出"。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不得出现疗效承诺（"治好""根治""治愈率"）、不得虚构数字。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数字与患者反馈须科室确认，未确认一律使用【】占位，不得虚构。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>本文与稿1、稿2切入点各不相同（新模式发布 vs 症状科普 vs 疗程依从性）。同类科室可分别备用；但一稿一院，同一家医院只可使用其中一篇。</w:t>
      </w:r>
    </w:p>
    <w:p>
      <w:pPr>
        <w:spacing w:after="120" w:line="336" w:lineRule="auto"/>
        <w:ind w:left="340"/>
      </w:pPr>
      <w:r>
        <w:rPr>
          <w:rFonts w:ascii="微软雅黑" w:hAnsi="微软雅黑" w:eastAsia="微软雅黑"/>
        </w:rPr>
        <w:t xml:space="preserve"> 红线提醒：全文不得写"能看到患者动作是否标准" —— 打卡口径只能是"训练时长与完成度可追踪"。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—————————————————————————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配图脚本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（说明：本表为建议配图，供科室参考。所有图均不得出现真实医院名称、真实医生姓名、真实患者照片与真实数据。图中的括号处为待填项，须等科室确认后由科室提供。）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图号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插入位置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画面内容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图上文字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尺寸比例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风格备注</w:t>
            </w:r>
          </w:p>
        </w:tc>
        <w:tc>
          <w:tcPr>
            <w:tcW w:type="dxa" w:w="1234"/>
            <w:shd w:fill="1A478A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来源建议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1（封面图）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标题下方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一条由四段组成的横向路径：院内评估开方  居家治疗  数据回传  随访调整，四段用箭头连接、连贯不断；起段画医院图标、末段画家图标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把治疗延伸到患者家中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2.35:1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白底+品牌绿，路径图为主，不用医院楼体照片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自绘（路径图）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"二、具体怎么做"首段后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四环横向流程框，每环带一行小标题（评估开方/居家执行/数据回传/随访调整），环与环之间用金色箭头连接；第一环标"医院"、后三环标"院外延伸"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四个环节，一环都不能少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流程框图，白底+品牌绿+辅助金箭头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自绘（流程图）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"三、患者怎么用"段落后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三步竖排阶梯图：到院评估  学会操作  在家治疗，每一步一个抽象人形图标（简笔，不画面部）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三步就能上手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阶梯图，浅绿底，图标化，不用真人照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自绘（阶梯图）</w:t>
            </w:r>
          </w:p>
        </w:tc>
      </w:tr>
      <w:tr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4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"四、为什么这么做是安全的"段落后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五项要点横排卡片：决策在医院 / 医疗级设备 / 过程可追溯 / 服务有分工 / 不适合不勉强，每项一个图标+一行说明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五道安全保障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卡片组，白底+品牌绿标题，图标简洁</w:t>
            </w:r>
          </w:p>
        </w:tc>
        <w:tc>
          <w:tcPr>
            <w:tcW w:type="dxa" w:w="1234"/>
            <w:shd w:fill="F5F7FA" w:val="clear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自绘（卡片组）</w:t>
            </w:r>
          </w:p>
        </w:tc>
      </w:tr>
      <w:tr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"六、关于这件事的边界"段落后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场景示意图：左侧一间居家房间内一台设备在工作，一条数据箭头从设备流向右侧的医院图标；人物仅用简笔轮廓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治疗不止于医院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16:9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场景示意，淡色彩，不出现真实患者形象</w:t>
            </w:r>
          </w:p>
        </w:tc>
        <w:tc>
          <w:tcPr>
            <w:tcW w:type="dxa" w:w="1234"/>
          </w:tcPr>
          <w:p>
            <w:r>
              <w:rPr>
                <w:rFonts w:ascii="微软雅黑" w:hAnsi="微软雅黑" w:eastAsia="微软雅黑"/>
                <w:sz w:val="20"/>
              </w:rPr>
            </w:r>
            <w:r>
              <w:rPr>
                <w:rFonts w:ascii="微软雅黑" w:hAnsi="微软雅黑" w:eastAsia="微软雅黑"/>
                <w:sz w:val="20"/>
              </w:rPr>
              <w:t>自绘（场景示意）</w:t>
            </w:r>
          </w:p>
        </w:tc>
      </w:tr>
    </w:tbl>
    <w:p/>
    <w:p>
      <w:pPr>
        <w:spacing w:after="120" w:line="336" w:lineRule="auto"/>
      </w:pPr>
      <w:r>
        <w:rPr>
          <w:rFonts w:ascii="微软雅黑" w:hAnsi="微软雅黑" w:eastAsia="微软雅黑"/>
        </w:rPr>
        <w:t>配色与风格规范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品牌绿 #0b6b5c（主色，用于标题字、图形主体）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辅助金 #c9a227（点缀，用于强调线、数字、箭头）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白底为主，浅灰 #f5f7fa 作分区底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字体：微软雅黑（标题加粗）；不用手写体、不用艺术字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图形优先：图标、箭头、流程框、对照栏。不用网上下载的医生、护士、患者摆拍照片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封面图统一在右下角放品牌 logo 小尺寸（约画面宽度 8%，不抢眼）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排版建议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每段不超过 4 行，手机上一屏能读完一段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小标题用品牌绿加粗，和正文拉开层次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封面图决定打开率，标题字要占画面三分之二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每张图之间至少隔 1 个自然段，不要连着放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本文结构偏"方案说明"，小标题要编号清楚，便于读者跳读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发布检查清单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配图已按本表全部做好，图上文字与表内一字不差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封面图尺寸比例已按本表设置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未使用网上下载的医生护士摆拍照片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未出现医院全名、医生姓名、患者真实照片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未出现"上门康复服务""包治""根治""治愈率"等表述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未出现技术服务机构名称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未出现"能看到动作是否标准"类表述（打卡口径红线）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未出现"三甲"表述（写"我院""我院盆底康复科"）</w:t>
      </w:r>
    </w:p>
    <w:p>
      <w:pPr>
        <w:spacing w:after="120" w:line="336" w:lineRule="auto"/>
      </w:pPr>
      <w:r>
        <w:rPr>
          <w:rFonts w:ascii="微软雅黑" w:hAnsi="微软雅黑" w:eastAsia="微软雅黑"/>
        </w:rPr>
        <w:t>·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