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336" w:lineRule="auto"/>
      </w:pPr>
      <w:r>
        <w:rPr>
          <w:rFonts w:ascii="微软雅黑" w:hAnsi="微软雅黑" w:eastAsia="微软雅黑"/>
        </w:rPr>
        <w:t>【发布前必读 · 口径须知（内部，发前删掉本段）】</w:t>
      </w:r>
    </w:p>
    <w:p>
      <w:pPr>
        <w:spacing w:after="120" w:line="336" w:lineRule="auto"/>
      </w:pPr>
      <w:r>
        <w:rPr>
          <w:rFonts w:ascii="微软雅黑" w:hAnsi="微软雅黑" w:eastAsia="微软雅黑"/>
        </w:rPr>
        <w:t>本文为课题成果解读，走"我们自己公众号"发布。视角要求：不站医院视角，不写"我院开展"；用"有研究显示""研究团队"转述。不出现任何医院名称、医生姓名。只引学术结论，不引申为"我方产品有效"。</w:t>
      </w:r>
    </w:p>
    <w:p>
      <w:pPr>
        <w:spacing w:after="120" w:line="336" w:lineRule="auto"/>
      </w:pPr>
      <w:r>
        <w:rPr>
          <w:rFonts w:ascii="微软雅黑" w:hAnsi="微软雅黑" w:eastAsia="微软雅黑"/>
        </w:rPr>
        <w:t>—————————————————————————</w:t>
      </w:r>
    </w:p>
    <w:p>
      <w:pPr>
        <w:spacing w:after="120" w:line="336" w:lineRule="auto"/>
      </w:pPr>
      <w:r>
        <w:rPr>
          <w:rFonts w:ascii="微软雅黑" w:hAnsi="微软雅黑" w:eastAsia="微软雅黑"/>
        </w:rPr>
        <w:t>人流术后，为什么有些人恢复得快、有些人反复出问题？</w:t>
      </w:r>
    </w:p>
    <w:p>
      <w:pPr>
        <w:spacing w:after="120" w:line="336" w:lineRule="auto"/>
      </w:pPr>
      <w:r>
        <w:rPr>
          <w:rFonts w:ascii="微软雅黑" w:hAnsi="微软雅黑" w:eastAsia="微软雅黑"/>
        </w:rPr>
        <w:t>——一项519例的研究，把答案指向了"出院之后"</w:t>
      </w:r>
    </w:p>
    <w:p>
      <w:pPr>
        <w:spacing w:after="120" w:line="336" w:lineRule="auto"/>
      </w:pPr>
      <w:r>
        <w:rPr>
          <w:rFonts w:ascii="微软雅黑" w:hAnsi="微软雅黑" w:eastAsia="微软雅黑"/>
        </w:rPr>
        <w:t>先说结论</w:t>
      </w:r>
    </w:p>
    <w:p>
      <w:pPr>
        <w:spacing w:after="120" w:line="336" w:lineRule="auto"/>
      </w:pPr>
      <w:r>
        <w:rPr>
          <w:rFonts w:ascii="微软雅黑" w:hAnsi="微软雅黑" w:eastAsia="微软雅黑"/>
        </w:rPr>
        <w:t>人流术后恢复得怎么样，很多时候不取决于手术本身，取决于出院之后那段时间有没有人管。</w:t>
      </w:r>
    </w:p>
    <w:p>
      <w:pPr>
        <w:spacing w:after="120" w:line="336" w:lineRule="auto"/>
      </w:pPr>
      <w:r>
        <w:rPr>
          <w:rFonts w:ascii="微软雅黑" w:hAnsi="微软雅黑" w:eastAsia="微软雅黑"/>
        </w:rPr>
        <w:t>2025年发表的一项研究，把519位有人流高危因素的女性分成了两组，比较了两种"管法"：</w:t>
      </w:r>
    </w:p>
    <w:p>
      <w:pPr>
        <w:spacing w:after="120" w:line="336" w:lineRule="auto"/>
      </w:pPr>
      <w:r>
        <w:rPr>
          <w:rFonts w:ascii="微软雅黑" w:hAnsi="微软雅黑" w:eastAsia="微软雅黑"/>
        </w:rPr>
        <w:t>结论是：延续性管理做得更细的那一组，避孕知识知晓率更高、避孕行为更合理、患者满意度更高。</w:t>
      </w:r>
    </w:p>
    <w:p>
      <w:pPr>
        <w:spacing w:after="120" w:line="336" w:lineRule="auto"/>
      </w:pPr>
      <w:r>
        <w:rPr>
          <w:rFonts w:ascii="微软雅黑" w:hAnsi="微软雅黑" w:eastAsia="微软雅黑"/>
        </w:rPr>
        <w:t>一、先看"高危"这两个字指的是什么</w:t>
      </w:r>
    </w:p>
    <w:p>
      <w:pPr>
        <w:spacing w:after="120" w:line="336" w:lineRule="auto"/>
      </w:pPr>
      <w:r>
        <w:rPr>
          <w:rFonts w:ascii="微软雅黑" w:hAnsi="微软雅黑" w:eastAsia="微软雅黑"/>
        </w:rPr>
        <w:t>人流术后人群里，有一部分人属于高危因素人群：多次流产、年龄偏小、剖宫产后、合并基础疾病等。</w:t>
      </w:r>
    </w:p>
    <w:p>
      <w:pPr>
        <w:spacing w:after="120" w:line="336" w:lineRule="auto"/>
      </w:pPr>
      <w:r>
        <w:rPr>
          <w:rFonts w:ascii="微软雅黑" w:hAnsi="微软雅黑" w:eastAsia="微软雅黑"/>
        </w:rPr>
        <w:t>这类人术后更容易出现并发症——感染、出血、子宫穿孔等；而且从长期看，影响的不只是身体恢复，还可能涉及心理状态和生活质量。</w:t>
      </w:r>
    </w:p>
    <w:p>
      <w:pPr>
        <w:spacing w:after="120" w:line="336" w:lineRule="auto"/>
      </w:pPr>
      <w:r>
        <w:rPr>
          <w:rFonts w:ascii="微软雅黑" w:hAnsi="微软雅黑" w:eastAsia="微软雅黑"/>
        </w:rPr>
        <w:t>所以对这部分人来说，手术做完只是开始，恢复期才是关键。</w:t>
      </w:r>
    </w:p>
    <w:p>
      <w:pPr>
        <w:spacing w:after="120" w:line="336" w:lineRule="auto"/>
      </w:pPr>
      <w:r>
        <w:rPr>
          <w:rFonts w:ascii="微软雅黑" w:hAnsi="微软雅黑" w:eastAsia="微软雅黑"/>
        </w:rPr>
        <w:t>二、研究是怎么做的</w:t>
      </w:r>
    </w:p>
    <w:p>
      <w:pPr>
        <w:spacing w:after="120" w:line="336" w:lineRule="auto"/>
      </w:pPr>
      <w:r>
        <w:rPr>
          <w:rFonts w:ascii="微软雅黑" w:hAnsi="微软雅黑" w:eastAsia="微软雅黑"/>
        </w:rPr>
        <w:t>这项研究发表于《临床护理研究》2025年第1期，研究对象是519例人工流产高危患者，采用随机数字表法分为两组。</w:t>
      </w:r>
    </w:p>
    <w:p>
      <w:pPr>
        <w:pStyle w:val="ListBullet"/>
        <w:spacing w:after="60"/>
      </w:pPr>
      <w:r>
        <w:rPr>
          <w:rFonts w:ascii="微软雅黑" w:hAnsi="微软雅黑" w:eastAsia="微软雅黑"/>
        </w:rPr>
        <w:t>对照组（259例）：常规院外延续性管理。包括建立健康档案、定期随访与评估、针对性健康教育、心理支持与疏导。持续管理1个月。</w:t>
      </w:r>
    </w:p>
    <w:p>
      <w:pPr>
        <w:pStyle w:val="ListBullet"/>
        <w:spacing w:after="60"/>
      </w:pPr>
      <w:r>
        <w:rPr>
          <w:rFonts w:ascii="微软雅黑" w:hAnsi="微软雅黑" w:eastAsia="微软雅黑"/>
        </w:rPr>
        <w:t>观察组（260例）：基于多学科合作的延续性管理。持续管理6个月。</w:t>
      </w:r>
    </w:p>
    <w:p>
      <w:pPr>
        <w:spacing w:after="120" w:line="336" w:lineRule="auto"/>
      </w:pPr>
      <w:r>
        <w:rPr>
          <w:rFonts w:ascii="微软雅黑" w:hAnsi="微软雅黑" w:eastAsia="微软雅黑"/>
        </w:rPr>
        <w:t>三、两组"管法"差在哪</w:t>
      </w:r>
    </w:p>
    <w:p>
      <w:pPr>
        <w:spacing w:after="120" w:line="336" w:lineRule="auto"/>
      </w:pPr>
      <w:r>
        <w:rPr>
          <w:rFonts w:ascii="微软雅黑" w:hAnsi="微软雅黑" w:eastAsia="微软雅黑"/>
        </w:rPr>
        <w:t>这是这篇研究最有价值的部分——它把"多学科协作"落到了具体动作上，不是一句口号。</w:t>
      </w:r>
    </w:p>
    <w:p>
      <w:pPr>
        <w:spacing w:after="120" w:line="336" w:lineRule="auto"/>
      </w:pPr>
      <w:r>
        <w:rPr>
          <w:rFonts w:ascii="微软雅黑" w:hAnsi="微软雅黑" w:eastAsia="微软雅黑"/>
        </w:rPr>
        <w:t>观察组的做法包括：</w:t>
      </w:r>
    </w:p>
    <w:p>
      <w:pPr>
        <w:spacing w:after="120" w:line="336" w:lineRule="auto"/>
      </w:pPr>
      <w:r>
        <w:rPr>
          <w:rFonts w:ascii="微软雅黑" w:hAnsi="微软雅黑" w:eastAsia="微软雅黑"/>
        </w:rPr>
        <w:t>① 先识别、再建档。 对登记的女性做全面评估，识别高危因素（年龄、既往病史、多次人流史、分娩史、是否稽留流产、哺乳期、心理状态、子宫手术史等），为识别出的人建立专门档案。</w:t>
      </w:r>
    </w:p>
    <w:p>
      <w:pPr>
        <w:spacing w:after="120" w:line="336" w:lineRule="auto"/>
      </w:pPr>
      <w:r>
        <w:rPr>
          <w:rFonts w:ascii="微软雅黑" w:hAnsi="微软雅黑" w:eastAsia="微软雅黑"/>
        </w:rPr>
        <w:t>② 成立多学科管理团队。 由2名妇科医生、1名心理咨询师、2名营养专科护士、2名妇女保健专科护士组成，明确各自职责和协作机制。</w:t>
      </w:r>
    </w:p>
    <w:p>
      <w:pPr>
        <w:spacing w:after="120" w:line="336" w:lineRule="auto"/>
      </w:pPr>
      <w:r>
        <w:rPr>
          <w:rFonts w:ascii="微软雅黑" w:hAnsi="微软雅黑" w:eastAsia="微软雅黑"/>
        </w:rPr>
        <w:t>③ 制订个体化管理计划。 团队共同制订，涵盖流产后恢复指导、心理支持、营养调整、康复训练等多个方面。</w:t>
      </w:r>
    </w:p>
    <w:p>
      <w:pPr>
        <w:spacing w:after="120" w:line="336" w:lineRule="auto"/>
      </w:pPr>
      <w:r>
        <w:rPr>
          <w:rFonts w:ascii="微软雅黑" w:hAnsi="微软雅黑" w:eastAsia="微软雅黑"/>
        </w:rPr>
        <w:t>④ 强化院内外衔接。 在院内通过微信平台构建公众号、微信群；患者在出院后或门诊加入群聊，由院外随访人员了解恢复情况、解答疑问，并根据情况调整管理计划。</w:t>
      </w:r>
    </w:p>
    <w:p>
      <w:pPr>
        <w:spacing w:after="120" w:line="336" w:lineRule="auto"/>
      </w:pPr>
      <w:r>
        <w:rPr>
          <w:rFonts w:ascii="微软雅黑" w:hAnsi="微软雅黑" w:eastAsia="微软雅黑"/>
        </w:rPr>
        <w:t>⑤ 心理支持与疏导。 通过量表与问卷了解心理状态，心理咨询师针对结果做个体化疏导。</w:t>
      </w:r>
    </w:p>
    <w:p>
      <w:pPr>
        <w:spacing w:after="120" w:line="336" w:lineRule="auto"/>
      </w:pPr>
      <w:r>
        <w:rPr>
          <w:rFonts w:ascii="微软雅黑" w:hAnsi="微软雅黑" w:eastAsia="微软雅黑"/>
        </w:rPr>
        <w:t>⑥ 营养与康复训练。 营养专科护士和妇女保健专科护士提供个性化营养指导；康复训练包括腹式呼吸训练、凯格尔运动等。</w:t>
      </w:r>
    </w:p>
    <w:p>
      <w:pPr>
        <w:spacing w:after="120" w:line="336" w:lineRule="auto"/>
      </w:pPr>
      <w:r>
        <w:rPr>
          <w:rFonts w:ascii="微软雅黑" w:hAnsi="微软雅黑" w:eastAsia="微软雅黑"/>
        </w:rPr>
        <w:t>⑦ 定期评估与调整。 团队定期评估恢复情况和管理效果，据此调整计划。</w:t>
      </w:r>
    </w:p>
    <w:p>
      <w:pPr>
        <w:spacing w:after="120" w:line="336" w:lineRule="auto"/>
      </w:pPr>
      <w:r>
        <w:rPr>
          <w:rFonts w:ascii="微软雅黑" w:hAnsi="微软雅黑" w:eastAsia="微软雅黑"/>
        </w:rPr>
        <w:t>一句话概括：院内的那套专业管理，没有在患者出院那天断掉。</w:t>
      </w:r>
    </w:p>
    <w:p>
      <w:pPr>
        <w:spacing w:after="120" w:line="336" w:lineRule="auto"/>
      </w:pPr>
      <w:r>
        <w:rPr>
          <w:rFonts w:ascii="微软雅黑" w:hAnsi="微软雅黑" w:eastAsia="微软雅黑"/>
        </w:rPr>
        <w:t>四、结果：三个数</w:t>
      </w:r>
    </w:p>
    <w:p>
      <w:pPr>
        <w:spacing w:after="120" w:line="336" w:lineRule="auto"/>
      </w:pPr>
      <w:r>
        <w:rPr>
          <w:rFonts w:ascii="微软雅黑" w:hAnsi="微软雅黑" w:eastAsia="微软雅黑"/>
        </w:rPr>
        <w:t>① 避孕知识知晓率：95.77% vs 88.80%</w:t>
      </w:r>
    </w:p>
    <w:p>
      <w:pPr>
        <w:spacing w:after="120" w:line="336" w:lineRule="auto"/>
      </w:pPr>
      <w:r>
        <w:rPr>
          <w:rFonts w:ascii="微软雅黑" w:hAnsi="微软雅黑" w:eastAsia="微软雅黑"/>
        </w:rPr>
        <w:t>观察组（多学科延续性管理）的避孕知识知晓率高于对照组，差异有统计学意义。</w:t>
      </w:r>
    </w:p>
    <w:p>
      <w:pPr>
        <w:spacing w:after="120" w:line="336" w:lineRule="auto"/>
      </w:pPr>
      <w:r>
        <w:rPr>
          <w:rFonts w:ascii="微软雅黑" w:hAnsi="微软雅黑" w:eastAsia="微软雅黑"/>
        </w:rPr>
        <w:t>也就是说：出院后有没有人持续教、持续问，直接决定了患者到底懂不懂。</w:t>
      </w:r>
    </w:p>
    <w:p>
      <w:pPr>
        <w:spacing w:after="120" w:line="336" w:lineRule="auto"/>
      </w:pPr>
      <w:r>
        <w:rPr>
          <w:rFonts w:ascii="微软雅黑" w:hAnsi="微软雅黑" w:eastAsia="微软雅黑"/>
        </w:rPr>
        <w:t>② 避孕措施使用情况</w:t>
      </w:r>
    </w:p>
    <w:p>
      <w:pPr>
        <w:spacing w:after="120" w:line="336" w:lineRule="auto"/>
      </w:pPr>
      <w:r>
        <w:rPr>
          <w:rFonts w:ascii="微软雅黑" w:hAnsi="微软雅黑" w:eastAsia="微软雅黑"/>
        </w:rPr>
        <w:t>观察组的高效避孕措施（COC，即复方口服避孕药）使用率高于对照组，差异有统计学意义。</w:t>
      </w:r>
    </w:p>
    <w:p>
      <w:pPr>
        <w:spacing w:after="120" w:line="336" w:lineRule="auto"/>
      </w:pPr>
      <w:r>
        <w:rPr>
          <w:rFonts w:ascii="微软雅黑" w:hAnsi="微软雅黑" w:eastAsia="微软雅黑"/>
        </w:rPr>
        <w:t>③ 满意度：97.69% vs 91.12%</w:t>
      </w:r>
    </w:p>
    <w:p>
      <w:pPr>
        <w:spacing w:after="120" w:line="336" w:lineRule="auto"/>
      </w:pPr>
      <w:r>
        <w:rPr>
          <w:rFonts w:ascii="微软雅黑" w:hAnsi="微软雅黑" w:eastAsia="微软雅黑"/>
        </w:rPr>
        <w:t>观察组对延续管理的满意度高于对照组，差异有统计学意义。</w:t>
      </w:r>
    </w:p>
    <w:p>
      <w:pPr>
        <w:spacing w:after="120" w:line="336" w:lineRule="auto"/>
      </w:pPr>
      <w:r>
        <w:rPr>
          <w:rFonts w:ascii="微软雅黑" w:hAnsi="微软雅黑" w:eastAsia="微软雅黑"/>
        </w:rPr>
        <w:t>五、这篇研究其实在讲一个更普适的道理</w:t>
      </w:r>
    </w:p>
    <w:p>
      <w:pPr>
        <w:spacing w:after="120" w:line="336" w:lineRule="auto"/>
      </w:pPr>
      <w:r>
        <w:rPr>
          <w:rFonts w:ascii="微软雅黑" w:hAnsi="微软雅黑" w:eastAsia="微软雅黑"/>
        </w:rPr>
        <w:t>把具体数字放一边，这项研究验证的是一件事：</w:t>
      </w:r>
    </w:p>
    <w:p>
      <w:pPr>
        <w:spacing w:after="120" w:line="336" w:lineRule="auto"/>
      </w:pPr>
      <w:r>
        <w:rPr>
          <w:rFonts w:ascii="微软雅黑" w:hAnsi="微软雅黑" w:eastAsia="微软雅黑"/>
        </w:rPr>
        <w:t>医疗服务的质量，不只发生在院内。</w:t>
      </w:r>
    </w:p>
    <w:p>
      <w:pPr>
        <w:spacing w:after="120" w:line="336" w:lineRule="auto"/>
      </w:pPr>
      <w:r>
        <w:rPr>
          <w:rFonts w:ascii="微软雅黑" w:hAnsi="微软雅黑" w:eastAsia="微软雅黑"/>
        </w:rPr>
        <w:t>传统的院外管理，通常是"出院时交代几句，之后等患者自己来问"。而这项研究里，观察组做的是把院内管理延伸出去——有人负责、有团队分工、有固定通道、有定期评估。</w:t>
      </w:r>
    </w:p>
    <w:p>
      <w:pPr>
        <w:spacing w:after="120" w:line="336" w:lineRule="auto"/>
      </w:pPr>
      <w:r>
        <w:rPr>
          <w:rFonts w:ascii="微软雅黑" w:hAnsi="微软雅黑" w:eastAsia="微软雅黑"/>
        </w:rPr>
        <w:t>论文在讨论里也讲到：多学科团队"始终将患者需求、感受放在首位"，通过耐心解答、关心感受提高认可度，并"积极收集患者的反馈、建议"。</w:t>
      </w:r>
    </w:p>
    <w:p>
      <w:pPr>
        <w:spacing w:after="120" w:line="336" w:lineRule="auto"/>
      </w:pPr>
      <w:r>
        <w:rPr>
          <w:rFonts w:ascii="微软雅黑" w:hAnsi="微软雅黑" w:eastAsia="微软雅黑"/>
        </w:rPr>
        <w:t>这些动作看起来都不复杂，但关键在于"持续"两个字——1个月和6个月的区别，就藏在这里。</w:t>
      </w:r>
    </w:p>
    <w:p>
      <w:pPr>
        <w:spacing w:after="120" w:line="336" w:lineRule="auto"/>
      </w:pPr>
      <w:r>
        <w:rPr>
          <w:rFonts w:ascii="微软雅黑" w:hAnsi="微软雅黑" w:eastAsia="微软雅黑"/>
        </w:rPr>
        <w:t>需要说明的是：本研究比较的是两种延续性管理方式的效果，研究中的管理服务由医疗机构提供。具体康复方案应由执业医师根据患者具体情况制定。</w:t>
      </w:r>
    </w:p>
    <w:p>
      <w:pPr>
        <w:spacing w:after="120" w:line="336" w:lineRule="auto"/>
      </w:pPr>
      <w:r>
        <w:rPr>
          <w:rFonts w:ascii="微软雅黑" w:hAnsi="微软雅黑" w:eastAsia="微软雅黑"/>
        </w:rPr>
        <w:t>写在最后</w:t>
      </w:r>
    </w:p>
    <w:p>
      <w:pPr>
        <w:spacing w:after="120" w:line="336" w:lineRule="auto"/>
      </w:pPr>
      <w:r>
        <w:rPr>
          <w:rFonts w:ascii="微软雅黑" w:hAnsi="微软雅黑" w:eastAsia="微软雅黑"/>
        </w:rPr>
        <w:t>对人流术后高危人群来说，"恢复得好不好"这件事，很大程度上取决于出院之后有没有人接着管。</w:t>
      </w:r>
    </w:p>
    <w:p>
      <w:pPr>
        <w:spacing w:after="120" w:line="336" w:lineRule="auto"/>
      </w:pPr>
      <w:r>
        <w:rPr>
          <w:rFonts w:ascii="微软雅黑" w:hAnsi="微软雅黑" w:eastAsia="微软雅黑"/>
        </w:rPr>
        <w:t>这项研究给出的做法是：别让管理在出院那天停下来。</w:t>
      </w:r>
    </w:p>
    <w:p>
      <w:pPr>
        <w:spacing w:after="120" w:line="336" w:lineRule="auto"/>
      </w:pPr>
      <w:r>
        <w:rPr>
          <w:rFonts w:ascii="微软雅黑" w:hAnsi="微软雅黑" w:eastAsia="微软雅黑"/>
        </w:rPr>
        <w:t>（本文所述研究结论均引自公开发表的学术文献，具体治疗方案请遵医嘱。）</w:t>
      </w:r>
    </w:p>
    <w:p>
      <w:pPr>
        <w:spacing w:after="120" w:line="336" w:lineRule="auto"/>
      </w:pPr>
      <w:r>
        <w:rPr>
          <w:rFonts w:ascii="微软雅黑" w:hAnsi="微软雅黑" w:eastAsia="微软雅黑"/>
        </w:rPr>
        <w:t>——————————————————————————————</w:t>
      </w:r>
    </w:p>
    <w:p>
      <w:pPr>
        <w:spacing w:after="120" w:line="336" w:lineRule="auto"/>
      </w:pPr>
      <w:r>
        <w:rPr>
          <w:rFonts w:ascii="微软雅黑" w:hAnsi="微软雅黑" w:eastAsia="微软雅黑"/>
        </w:rPr>
        <w:t>配图脚本</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1A478A" w:val="clear"/>
          </w:tcPr>
          <w:p>
            <w:r/>
            <w:r>
              <w:rPr>
                <w:rFonts w:ascii="微软雅黑" w:hAnsi="微软雅黑" w:eastAsia="微软雅黑"/>
                <w:b/>
                <w:color w:val="FFFFFF"/>
                <w:sz w:val="20"/>
              </w:rPr>
              <w:t>图号</w:t>
            </w:r>
          </w:p>
        </w:tc>
        <w:tc>
          <w:tcPr>
            <w:tcW w:type="dxa" w:w="1234"/>
            <w:shd w:fill="1A478A" w:val="clear"/>
          </w:tcPr>
          <w:p>
            <w:r/>
            <w:r>
              <w:rPr>
                <w:rFonts w:ascii="微软雅黑" w:hAnsi="微软雅黑" w:eastAsia="微软雅黑"/>
                <w:b/>
                <w:color w:val="FFFFFF"/>
                <w:sz w:val="20"/>
              </w:rPr>
              <w:t>插入位置</w:t>
            </w:r>
          </w:p>
        </w:tc>
        <w:tc>
          <w:tcPr>
            <w:tcW w:type="dxa" w:w="1234"/>
            <w:shd w:fill="1A478A" w:val="clear"/>
          </w:tcPr>
          <w:p>
            <w:r/>
            <w:r>
              <w:rPr>
                <w:rFonts w:ascii="微软雅黑" w:hAnsi="微软雅黑" w:eastAsia="微软雅黑"/>
                <w:b/>
                <w:color w:val="FFFFFF"/>
                <w:sz w:val="20"/>
              </w:rPr>
              <w:t>画面内容</w:t>
            </w:r>
          </w:p>
        </w:tc>
        <w:tc>
          <w:tcPr>
            <w:tcW w:type="dxa" w:w="1234"/>
            <w:shd w:fill="1A478A" w:val="clear"/>
          </w:tcPr>
          <w:p>
            <w:r/>
            <w:r>
              <w:rPr>
                <w:rFonts w:ascii="微软雅黑" w:hAnsi="微软雅黑" w:eastAsia="微软雅黑"/>
                <w:b/>
                <w:color w:val="FFFFFF"/>
                <w:sz w:val="20"/>
              </w:rPr>
              <w:t>图上文字</w:t>
            </w:r>
          </w:p>
        </w:tc>
        <w:tc>
          <w:tcPr>
            <w:tcW w:type="dxa" w:w="1234"/>
            <w:shd w:fill="1A478A" w:val="clear"/>
          </w:tcPr>
          <w:p>
            <w:r/>
            <w:r>
              <w:rPr>
                <w:rFonts w:ascii="微软雅黑" w:hAnsi="微软雅黑" w:eastAsia="微软雅黑"/>
                <w:b/>
                <w:color w:val="FFFFFF"/>
                <w:sz w:val="20"/>
              </w:rPr>
              <w:t>尺寸比例</w:t>
            </w:r>
          </w:p>
        </w:tc>
        <w:tc>
          <w:tcPr>
            <w:tcW w:type="dxa" w:w="1234"/>
            <w:shd w:fill="1A478A" w:val="clear"/>
          </w:tcPr>
          <w:p>
            <w:r/>
            <w:r>
              <w:rPr>
                <w:rFonts w:ascii="微软雅黑" w:hAnsi="微软雅黑" w:eastAsia="微软雅黑"/>
                <w:b/>
                <w:color w:val="FFFFFF"/>
                <w:sz w:val="20"/>
              </w:rPr>
              <w:t>风格备注</w:t>
            </w:r>
          </w:p>
        </w:tc>
        <w:tc>
          <w:tcPr>
            <w:tcW w:type="dxa" w:w="1234"/>
            <w:shd w:fill="1A478A" w:val="clear"/>
          </w:tcPr>
          <w:p>
            <w:r/>
            <w:r>
              <w:rPr>
                <w:rFonts w:ascii="微软雅黑" w:hAnsi="微软雅黑" w:eastAsia="微软雅黑"/>
                <w:b/>
                <w:color w:val="FFFFFF"/>
                <w:sz w:val="20"/>
              </w:rPr>
              <w:t>来源建议</w:t>
            </w:r>
          </w:p>
        </w:tc>
      </w:tr>
      <w:tr>
        <w:tc>
          <w:tcPr>
            <w:tcW w:type="dxa" w:w="1234"/>
          </w:tcPr>
          <w:p>
            <w:r>
              <w:rPr>
                <w:rFonts w:ascii="微软雅黑" w:hAnsi="微软雅黑" w:eastAsia="微软雅黑"/>
                <w:sz w:val="20"/>
              </w:rPr>
            </w:r>
            <w:r>
              <w:rPr>
                <w:rFonts w:ascii="微软雅黑" w:hAnsi="微软雅黑" w:eastAsia="微软雅黑"/>
                <w:sz w:val="20"/>
              </w:rPr>
              <w:t>1（封面图）</w:t>
            </w:r>
          </w:p>
        </w:tc>
        <w:tc>
          <w:tcPr>
            <w:tcW w:type="dxa" w:w="1234"/>
          </w:tcPr>
          <w:p>
            <w:r>
              <w:rPr>
                <w:rFonts w:ascii="微软雅黑" w:hAnsi="微软雅黑" w:eastAsia="微软雅黑"/>
                <w:sz w:val="20"/>
              </w:rPr>
            </w:r>
            <w:r>
              <w:rPr>
                <w:rFonts w:ascii="微软雅黑" w:hAnsi="微软雅黑" w:eastAsia="微软雅黑"/>
                <w:sz w:val="20"/>
              </w:rPr>
              <w:t>标题下方</w:t>
            </w:r>
          </w:p>
        </w:tc>
        <w:tc>
          <w:tcPr>
            <w:tcW w:type="dxa" w:w="1234"/>
          </w:tcPr>
          <w:p>
            <w:r>
              <w:rPr>
                <w:rFonts w:ascii="微软雅黑" w:hAnsi="微软雅黑" w:eastAsia="微软雅黑"/>
                <w:sz w:val="20"/>
              </w:rPr>
            </w:r>
            <w:r>
              <w:rPr>
                <w:rFonts w:ascii="微软雅黑" w:hAnsi="微软雅黑" w:eastAsia="微软雅黑"/>
                <w:sz w:val="20"/>
              </w:rPr>
              <w:t>一条时间轴：左段是"手术当天"，右段延伸出很长一截，标"1个月"与"6个月"两条刻度对比；6个月那条上依次排列小图标（医生/咨询师/营养护士/保健护士）</w:t>
            </w:r>
          </w:p>
        </w:tc>
        <w:tc>
          <w:tcPr>
            <w:tcW w:type="dxa" w:w="1234"/>
          </w:tcPr>
          <w:p>
            <w:r>
              <w:rPr>
                <w:rFonts w:ascii="微软雅黑" w:hAnsi="微软雅黑" w:eastAsia="微软雅黑"/>
                <w:sz w:val="20"/>
              </w:rPr>
            </w:r>
            <w:r>
              <w:rPr>
                <w:rFonts w:ascii="微软雅黑" w:hAnsi="微软雅黑" w:eastAsia="微软雅黑"/>
                <w:sz w:val="20"/>
              </w:rPr>
              <w:t>恢复得好不好，看出院之后</w:t>
            </w:r>
          </w:p>
        </w:tc>
        <w:tc>
          <w:tcPr>
            <w:tcW w:type="dxa" w:w="1234"/>
          </w:tcPr>
          <w:p>
            <w:r>
              <w:rPr>
                <w:rFonts w:ascii="微软雅黑" w:hAnsi="微软雅黑" w:eastAsia="微软雅黑"/>
                <w:sz w:val="20"/>
              </w:rPr>
            </w:r>
            <w:r>
              <w:rPr>
                <w:rFonts w:ascii="微软雅黑" w:hAnsi="微软雅黑" w:eastAsia="微软雅黑"/>
                <w:sz w:val="20"/>
              </w:rPr>
              <w:t>2.35:1</w:t>
            </w:r>
          </w:p>
        </w:tc>
        <w:tc>
          <w:tcPr>
            <w:tcW w:type="dxa" w:w="1234"/>
          </w:tcPr>
          <w:p>
            <w:r>
              <w:rPr>
                <w:rFonts w:ascii="微软雅黑" w:hAnsi="微软雅黑" w:eastAsia="微软雅黑"/>
                <w:sz w:val="20"/>
              </w:rPr>
            </w:r>
            <w:r>
              <w:rPr>
                <w:rFonts w:ascii="微软雅黑" w:hAnsi="微软雅黑" w:eastAsia="微软雅黑"/>
                <w:sz w:val="20"/>
              </w:rPr>
              <w:t>白底+品牌绿，时间轴为主，不用实物照片</w:t>
            </w:r>
          </w:p>
        </w:tc>
        <w:tc>
          <w:tcPr>
            <w:tcW w:type="dxa" w:w="1234"/>
          </w:tcPr>
          <w:p>
            <w:r>
              <w:rPr>
                <w:rFonts w:ascii="微软雅黑" w:hAnsi="微软雅黑" w:eastAsia="微软雅黑"/>
                <w:sz w:val="20"/>
              </w:rPr>
            </w:r>
            <w:r>
              <w:rPr>
                <w:rFonts w:ascii="微软雅黑" w:hAnsi="微软雅黑" w:eastAsia="微软雅黑"/>
                <w:sz w:val="20"/>
              </w:rPr>
              <w:t>自绘（时间轴）</w:t>
            </w:r>
          </w:p>
        </w:tc>
      </w:tr>
      <w:tr>
        <w:tc>
          <w:tcPr>
            <w:tcW w:type="dxa" w:w="1234"/>
            <w:shd w:fill="F5F7FA" w:val="clear"/>
          </w:tcPr>
          <w:p>
            <w:r>
              <w:rPr>
                <w:rFonts w:ascii="微软雅黑" w:hAnsi="微软雅黑" w:eastAsia="微软雅黑"/>
                <w:sz w:val="20"/>
              </w:rPr>
            </w:r>
            <w:r>
              <w:rPr>
                <w:rFonts w:ascii="微软雅黑" w:hAnsi="微软雅黑" w:eastAsia="微软雅黑"/>
                <w:sz w:val="20"/>
              </w:rPr>
              <w:t>2</w:t>
            </w:r>
          </w:p>
        </w:tc>
        <w:tc>
          <w:tcPr>
            <w:tcW w:type="dxa" w:w="1234"/>
            <w:shd w:fill="F5F7FA" w:val="clear"/>
          </w:tcPr>
          <w:p>
            <w:r>
              <w:rPr>
                <w:rFonts w:ascii="微软雅黑" w:hAnsi="微软雅黑" w:eastAsia="微软雅黑"/>
                <w:sz w:val="20"/>
              </w:rPr>
            </w:r>
            <w:r>
              <w:rPr>
                <w:rFonts w:ascii="微软雅黑" w:hAnsi="微软雅黑" w:eastAsia="微软雅黑"/>
                <w:sz w:val="20"/>
              </w:rPr>
              <w:t>"三、两组'管法'差在哪"小节后</w:t>
            </w:r>
          </w:p>
        </w:tc>
        <w:tc>
          <w:tcPr>
            <w:tcW w:type="dxa" w:w="1234"/>
            <w:shd w:fill="F5F7FA" w:val="clear"/>
          </w:tcPr>
          <w:p>
            <w:r>
              <w:rPr>
                <w:rFonts w:ascii="微软雅黑" w:hAnsi="微软雅黑" w:eastAsia="微软雅黑"/>
                <w:sz w:val="20"/>
              </w:rPr>
            </w:r>
            <w:r>
              <w:rPr>
                <w:rFonts w:ascii="微软雅黑" w:hAnsi="微软雅黑" w:eastAsia="微软雅黑"/>
                <w:sz w:val="20"/>
              </w:rPr>
              <w:t>七步流程图排成环形或之字形：识别建档多学科团队个体化计划院内外衔接心理支持营养与康复训练定期评估；箭头串起来</w:t>
            </w:r>
          </w:p>
        </w:tc>
        <w:tc>
          <w:tcPr>
            <w:tcW w:type="dxa" w:w="1234"/>
            <w:shd w:fill="F5F7FA" w:val="clear"/>
          </w:tcPr>
          <w:p>
            <w:r>
              <w:rPr>
                <w:rFonts w:ascii="微软雅黑" w:hAnsi="微软雅黑" w:eastAsia="微软雅黑"/>
                <w:sz w:val="20"/>
              </w:rPr>
            </w:r>
            <w:r>
              <w:rPr>
                <w:rFonts w:ascii="微软雅黑" w:hAnsi="微软雅黑" w:eastAsia="微软雅黑"/>
                <w:sz w:val="20"/>
              </w:rPr>
              <w:t>不是一句口号，是七个动作</w:t>
            </w:r>
          </w:p>
        </w:tc>
        <w:tc>
          <w:tcPr>
            <w:tcW w:type="dxa" w:w="1234"/>
            <w:shd w:fill="F5F7FA" w:val="clear"/>
          </w:tcPr>
          <w:p>
            <w:r>
              <w:rPr>
                <w:rFonts w:ascii="微软雅黑" w:hAnsi="微软雅黑" w:eastAsia="微软雅黑"/>
                <w:sz w:val="20"/>
              </w:rPr>
            </w:r>
            <w:r>
              <w:rPr>
                <w:rFonts w:ascii="微软雅黑" w:hAnsi="微软雅黑" w:eastAsia="微软雅黑"/>
                <w:sz w:val="20"/>
              </w:rPr>
              <w:t>16:9</w:t>
            </w:r>
          </w:p>
        </w:tc>
        <w:tc>
          <w:tcPr>
            <w:tcW w:type="dxa" w:w="1234"/>
            <w:shd w:fill="F5F7FA" w:val="clear"/>
          </w:tcPr>
          <w:p>
            <w:r>
              <w:rPr>
                <w:rFonts w:ascii="微软雅黑" w:hAnsi="微软雅黑" w:eastAsia="微软雅黑"/>
                <w:sz w:val="20"/>
              </w:rPr>
            </w:r>
            <w:r>
              <w:rPr>
                <w:rFonts w:ascii="微软雅黑" w:hAnsi="微软雅黑" w:eastAsia="微软雅黑"/>
                <w:sz w:val="20"/>
              </w:rPr>
              <w:t>流程图，箭头用辅助金，步骤块品牌绿</w:t>
            </w:r>
          </w:p>
        </w:tc>
        <w:tc>
          <w:tcPr>
            <w:tcW w:type="dxa" w:w="1234"/>
            <w:shd w:fill="F5F7FA" w:val="clear"/>
          </w:tcPr>
          <w:p>
            <w:r>
              <w:rPr>
                <w:rFonts w:ascii="微软雅黑" w:hAnsi="微软雅黑" w:eastAsia="微软雅黑"/>
                <w:sz w:val="20"/>
              </w:rPr>
            </w:r>
            <w:r>
              <w:rPr>
                <w:rFonts w:ascii="微软雅黑" w:hAnsi="微软雅黑" w:eastAsia="微软雅黑"/>
                <w:sz w:val="20"/>
              </w:rPr>
              <w:t>自绘（流程图）</w:t>
            </w:r>
          </w:p>
        </w:tc>
      </w:tr>
      <w:tr>
        <w:tc>
          <w:tcPr>
            <w:tcW w:type="dxa" w:w="1234"/>
          </w:tcPr>
          <w:p>
            <w:r>
              <w:rPr>
                <w:rFonts w:ascii="微软雅黑" w:hAnsi="微软雅黑" w:eastAsia="微软雅黑"/>
                <w:sz w:val="20"/>
              </w:rPr>
            </w:r>
            <w:r>
              <w:rPr>
                <w:rFonts w:ascii="微软雅黑" w:hAnsi="微软雅黑" w:eastAsia="微软雅黑"/>
                <w:sz w:val="20"/>
              </w:rPr>
              <w:t>3</w:t>
            </w:r>
          </w:p>
        </w:tc>
        <w:tc>
          <w:tcPr>
            <w:tcW w:type="dxa" w:w="1234"/>
          </w:tcPr>
          <w:p>
            <w:r>
              <w:rPr>
                <w:rFonts w:ascii="微软雅黑" w:hAnsi="微软雅黑" w:eastAsia="微软雅黑"/>
                <w:sz w:val="20"/>
              </w:rPr>
            </w:r>
            <w:r>
              <w:rPr>
                <w:rFonts w:ascii="微软雅黑" w:hAnsi="微软雅黑" w:eastAsia="微软雅黑"/>
                <w:sz w:val="20"/>
              </w:rPr>
              <w:t>"四、结果：三个数"小节后</w:t>
            </w:r>
          </w:p>
        </w:tc>
        <w:tc>
          <w:tcPr>
            <w:tcW w:type="dxa" w:w="1234"/>
          </w:tcPr>
          <w:p>
            <w:r>
              <w:rPr>
                <w:rFonts w:ascii="微软雅黑" w:hAnsi="微软雅黑" w:eastAsia="微软雅黑"/>
                <w:sz w:val="20"/>
              </w:rPr>
            </w:r>
            <w:r>
              <w:rPr>
                <w:rFonts w:ascii="微软雅黑" w:hAnsi="微软雅黑" w:eastAsia="微软雅黑"/>
                <w:sz w:val="20"/>
              </w:rPr>
              <w:t>三组双柱对比图（各一组两柱：对照组灰、观察组绿）：①88.80% vs 95.77% ②COC使用率 ③91.12% vs 97.69%；每组柱下标注指标名</w:t>
            </w:r>
          </w:p>
        </w:tc>
        <w:tc>
          <w:tcPr>
            <w:tcW w:type="dxa" w:w="1234"/>
          </w:tcPr>
          <w:p>
            <w:r>
              <w:rPr>
                <w:rFonts w:ascii="微软雅黑" w:hAnsi="微软雅黑" w:eastAsia="微软雅黑"/>
                <w:sz w:val="20"/>
              </w:rPr>
            </w:r>
            <w:r>
              <w:rPr>
                <w:rFonts w:ascii="微软雅黑" w:hAnsi="微软雅黑" w:eastAsia="微软雅黑"/>
                <w:sz w:val="20"/>
              </w:rPr>
              <w:t>三个数，都往同一方向走</w:t>
            </w:r>
          </w:p>
        </w:tc>
        <w:tc>
          <w:tcPr>
            <w:tcW w:type="dxa" w:w="1234"/>
          </w:tcPr>
          <w:p>
            <w:r>
              <w:rPr>
                <w:rFonts w:ascii="微软雅黑" w:hAnsi="微软雅黑" w:eastAsia="微软雅黑"/>
                <w:sz w:val="20"/>
              </w:rPr>
            </w:r>
            <w:r>
              <w:rPr>
                <w:rFonts w:ascii="微软雅黑" w:hAnsi="微软雅黑" w:eastAsia="微软雅黑"/>
                <w:sz w:val="20"/>
              </w:rPr>
              <w:t>16:9</w:t>
            </w:r>
          </w:p>
        </w:tc>
        <w:tc>
          <w:tcPr>
            <w:tcW w:type="dxa" w:w="1234"/>
          </w:tcPr>
          <w:p>
            <w:r>
              <w:rPr>
                <w:rFonts w:ascii="微软雅黑" w:hAnsi="微软雅黑" w:eastAsia="微软雅黑"/>
                <w:sz w:val="20"/>
              </w:rPr>
            </w:r>
            <w:r>
              <w:rPr>
                <w:rFonts w:ascii="微软雅黑" w:hAnsi="微软雅黑" w:eastAsia="微软雅黑"/>
                <w:sz w:val="20"/>
              </w:rPr>
              <w:t>双柱对比图，观察组一律品牌绿，对照组浅灰</w:t>
            </w:r>
          </w:p>
        </w:tc>
        <w:tc>
          <w:tcPr>
            <w:tcW w:type="dxa" w:w="1234"/>
          </w:tcPr>
          <w:p>
            <w:r>
              <w:rPr>
                <w:rFonts w:ascii="微软雅黑" w:hAnsi="微软雅黑" w:eastAsia="微软雅黑"/>
                <w:sz w:val="20"/>
              </w:rPr>
            </w:r>
            <w:r>
              <w:rPr>
                <w:rFonts w:ascii="微软雅黑" w:hAnsi="微软雅黑" w:eastAsia="微软雅黑"/>
                <w:sz w:val="20"/>
              </w:rPr>
              <w:t>自绘（双柱图）</w:t>
            </w:r>
          </w:p>
        </w:tc>
      </w:tr>
      <w:tr>
        <w:tc>
          <w:tcPr>
            <w:tcW w:type="dxa" w:w="1234"/>
            <w:shd w:fill="F5F7FA" w:val="clear"/>
          </w:tcPr>
          <w:p>
            <w:r>
              <w:rPr>
                <w:rFonts w:ascii="微软雅黑" w:hAnsi="微软雅黑" w:eastAsia="微软雅黑"/>
                <w:sz w:val="20"/>
              </w:rPr>
            </w:r>
            <w:r>
              <w:rPr>
                <w:rFonts w:ascii="微软雅黑" w:hAnsi="微软雅黑" w:eastAsia="微软雅黑"/>
                <w:sz w:val="20"/>
              </w:rPr>
              <w:t>4</w:t>
            </w:r>
          </w:p>
        </w:tc>
        <w:tc>
          <w:tcPr>
            <w:tcW w:type="dxa" w:w="1234"/>
            <w:shd w:fill="F5F7FA" w:val="clear"/>
          </w:tcPr>
          <w:p>
            <w:r>
              <w:rPr>
                <w:rFonts w:ascii="微软雅黑" w:hAnsi="微软雅黑" w:eastAsia="微软雅黑"/>
                <w:sz w:val="20"/>
              </w:rPr>
            </w:r>
            <w:r>
              <w:rPr>
                <w:rFonts w:ascii="微软雅黑" w:hAnsi="微软雅黑" w:eastAsia="微软雅黑"/>
                <w:sz w:val="20"/>
              </w:rPr>
              <w:t>"五、这篇研究其实在讲一个更普适的道理"小节后</w:t>
            </w:r>
          </w:p>
        </w:tc>
        <w:tc>
          <w:tcPr>
            <w:tcW w:type="dxa" w:w="1234"/>
            <w:shd w:fill="F5F7FA" w:val="clear"/>
          </w:tcPr>
          <w:p>
            <w:r>
              <w:rPr>
                <w:rFonts w:ascii="微软雅黑" w:hAnsi="微软雅黑" w:eastAsia="微软雅黑"/>
                <w:sz w:val="20"/>
              </w:rPr>
            </w:r>
            <w:r>
              <w:rPr>
                <w:rFonts w:ascii="微软雅黑" w:hAnsi="微软雅黑" w:eastAsia="微软雅黑"/>
                <w:sz w:val="20"/>
              </w:rPr>
              <w:t>左右对照：左侧一条短线标"出院交代几句"（灰），右侧一条延伸的长线标"持续管理6个月"（绿）；两线下方一行结论压满</w:t>
            </w:r>
          </w:p>
        </w:tc>
        <w:tc>
          <w:tcPr>
            <w:tcW w:type="dxa" w:w="1234"/>
            <w:shd w:fill="F5F7FA" w:val="clear"/>
          </w:tcPr>
          <w:p>
            <w:r>
              <w:rPr>
                <w:rFonts w:ascii="微软雅黑" w:hAnsi="微软雅黑" w:eastAsia="微软雅黑"/>
                <w:sz w:val="20"/>
              </w:rPr>
            </w:r>
            <w:r>
              <w:rPr>
                <w:rFonts w:ascii="微软雅黑" w:hAnsi="微软雅黑" w:eastAsia="微软雅黑"/>
                <w:sz w:val="20"/>
              </w:rPr>
              <w:t>区别在于"持续"两个字</w:t>
            </w:r>
          </w:p>
        </w:tc>
        <w:tc>
          <w:tcPr>
            <w:tcW w:type="dxa" w:w="1234"/>
            <w:shd w:fill="F5F7FA" w:val="clear"/>
          </w:tcPr>
          <w:p>
            <w:r>
              <w:rPr>
                <w:rFonts w:ascii="微软雅黑" w:hAnsi="微软雅黑" w:eastAsia="微软雅黑"/>
                <w:sz w:val="20"/>
              </w:rPr>
            </w:r>
            <w:r>
              <w:rPr>
                <w:rFonts w:ascii="微软雅黑" w:hAnsi="微软雅黑" w:eastAsia="微软雅黑"/>
                <w:sz w:val="20"/>
              </w:rPr>
              <w:t>16:9</w:t>
            </w:r>
          </w:p>
        </w:tc>
        <w:tc>
          <w:tcPr>
            <w:tcW w:type="dxa" w:w="1234"/>
            <w:shd w:fill="F5F7FA" w:val="clear"/>
          </w:tcPr>
          <w:p>
            <w:r>
              <w:rPr>
                <w:rFonts w:ascii="微软雅黑" w:hAnsi="微软雅黑" w:eastAsia="微软雅黑"/>
                <w:sz w:val="20"/>
              </w:rPr>
            </w:r>
            <w:r>
              <w:rPr>
                <w:rFonts w:ascii="微软雅黑" w:hAnsi="微软雅黑" w:eastAsia="微软雅黑"/>
                <w:sz w:val="20"/>
              </w:rPr>
              <w:t>长短线对比，底部结论条品牌绿实底白字</w:t>
            </w:r>
          </w:p>
        </w:tc>
        <w:tc>
          <w:tcPr>
            <w:tcW w:type="dxa" w:w="1234"/>
            <w:shd w:fill="F5F7FA" w:val="clear"/>
          </w:tcPr>
          <w:p>
            <w:r>
              <w:rPr>
                <w:rFonts w:ascii="微软雅黑" w:hAnsi="微软雅黑" w:eastAsia="微软雅黑"/>
                <w:sz w:val="20"/>
              </w:rPr>
            </w:r>
            <w:r>
              <w:rPr>
                <w:rFonts w:ascii="微软雅黑" w:hAnsi="微软雅黑" w:eastAsia="微软雅黑"/>
                <w:sz w:val="20"/>
              </w:rPr>
              <w:t>自绘（对比图）</w:t>
            </w:r>
          </w:p>
        </w:tc>
      </w:tr>
    </w:tbl>
    <w:p/>
    <w:p>
      <w:pPr>
        <w:spacing w:after="120" w:line="336" w:lineRule="auto"/>
      </w:pPr>
      <w:r>
        <w:rPr>
          <w:rFonts w:ascii="微软雅黑" w:hAnsi="微软雅黑" w:eastAsia="微软雅黑"/>
        </w:rPr>
        <w:t>配色与风格规范</w:t>
      </w:r>
    </w:p>
    <w:p>
      <w:pPr>
        <w:pStyle w:val="ListBullet"/>
        <w:spacing w:after="60"/>
      </w:pPr>
      <w:r>
        <w:rPr>
          <w:rFonts w:ascii="微软雅黑" w:hAnsi="微软雅黑" w:eastAsia="微软雅黑"/>
        </w:rPr>
        <w:t>品牌绿 #0b6b5c（主色，用于标题字、图形主体）</w:t>
      </w:r>
    </w:p>
    <w:p>
      <w:pPr>
        <w:pStyle w:val="ListBullet"/>
        <w:spacing w:after="60"/>
      </w:pPr>
      <w:r>
        <w:rPr>
          <w:rFonts w:ascii="微软雅黑" w:hAnsi="微软雅黑" w:eastAsia="微软雅黑"/>
        </w:rPr>
        <w:t>辅助金 #c9a227（点缀，用于强调线、数字、箭头）</w:t>
      </w:r>
    </w:p>
    <w:p>
      <w:pPr>
        <w:pStyle w:val="ListBullet"/>
        <w:spacing w:after="60"/>
      </w:pPr>
      <w:r>
        <w:rPr>
          <w:rFonts w:ascii="微软雅黑" w:hAnsi="微软雅黑" w:eastAsia="微软雅黑"/>
        </w:rPr>
        <w:t>白底为主，浅灰 #f5f7fa 作分区底</w:t>
      </w:r>
    </w:p>
    <w:p>
      <w:pPr>
        <w:pStyle w:val="ListBullet"/>
        <w:spacing w:after="60"/>
      </w:pPr>
      <w:r>
        <w:rPr>
          <w:rFonts w:ascii="微软雅黑" w:hAnsi="微软雅黑" w:eastAsia="微软雅黑"/>
        </w:rPr>
        <w:t>字体：微软雅黑（标题加粗）；不用手写体、不用艺术字</w:t>
      </w:r>
    </w:p>
    <w:p>
      <w:pPr>
        <w:pStyle w:val="ListBullet"/>
        <w:spacing w:after="60"/>
      </w:pPr>
      <w:r>
        <w:rPr>
          <w:rFonts w:ascii="微软雅黑" w:hAnsi="微软雅黑" w:eastAsia="微软雅黑"/>
        </w:rPr>
        <w:t>图形优先：图标、箭头、流程框、对照栏。不用网上下载的医生、护士、患者摆拍照片</w:t>
      </w:r>
    </w:p>
    <w:p>
      <w:pPr>
        <w:pStyle w:val="ListBullet"/>
        <w:spacing w:after="60"/>
      </w:pPr>
      <w:r>
        <w:rPr>
          <w:rFonts w:ascii="微软雅黑" w:hAnsi="微软雅黑" w:eastAsia="微软雅黑"/>
        </w:rPr>
        <w:t>封面图统一在右下角放品牌 logo 小尺寸（约画面宽度 8%，不抢眼）</w:t>
      </w:r>
    </w:p>
    <w:p>
      <w:pPr>
        <w:spacing w:after="120" w:line="336" w:lineRule="auto"/>
      </w:pPr>
      <w:r>
        <w:rPr>
          <w:rFonts w:ascii="微软雅黑" w:hAnsi="微软雅黑" w:eastAsia="微软雅黑"/>
        </w:rPr>
        <w:t>排版建议</w:t>
      </w:r>
    </w:p>
    <w:p>
      <w:pPr>
        <w:pStyle w:val="ListBullet"/>
        <w:spacing w:after="60"/>
      </w:pPr>
      <w:r>
        <w:rPr>
          <w:rFonts w:ascii="微软雅黑" w:hAnsi="微软雅黑" w:eastAsia="微软雅黑"/>
        </w:rPr>
        <w:t>每段不超过 4 行，手机上一屏能读完一段</w:t>
      </w:r>
    </w:p>
    <w:p>
      <w:pPr>
        <w:pStyle w:val="ListBullet"/>
        <w:spacing w:after="60"/>
      </w:pPr>
      <w:r>
        <w:rPr>
          <w:rFonts w:ascii="微软雅黑" w:hAnsi="微软雅黑" w:eastAsia="微软雅黑"/>
        </w:rPr>
        <w:t>小标题用品牌绿加粗，和正文拉开层次</w:t>
      </w:r>
    </w:p>
    <w:p>
      <w:pPr>
        <w:pStyle w:val="ListBullet"/>
        <w:spacing w:after="60"/>
      </w:pPr>
      <w:r>
        <w:rPr>
          <w:rFonts w:ascii="微软雅黑" w:hAnsi="微软雅黑" w:eastAsia="微软雅黑"/>
        </w:rPr>
        <w:t>本篇文章偏长，每个小节开头用一句短句做"路标"，帮读者抓住节奏</w:t>
      </w:r>
    </w:p>
    <w:p>
      <w:pPr>
        <w:pStyle w:val="ListBullet"/>
        <w:spacing w:after="60"/>
      </w:pPr>
      <w:r>
        <w:rPr>
          <w:rFonts w:ascii="微软雅黑" w:hAnsi="微软雅黑" w:eastAsia="微软雅黑"/>
        </w:rPr>
        <w:t>每张图之间至少隔 1 个自然段，不要连着放</w:t>
      </w:r>
    </w:p>
    <w:p>
      <w:pPr>
        <w:spacing w:after="120" w:line="336" w:lineRule="auto"/>
      </w:pPr>
      <w:r>
        <w:rPr>
          <w:rFonts w:ascii="微软雅黑" w:hAnsi="微软雅黑" w:eastAsia="微软雅黑"/>
        </w:rPr>
        <w:t>发布检查清单</w:t>
      </w:r>
    </w:p>
    <w:p>
      <w:pPr>
        <w:pStyle w:val="ListBullet"/>
        <w:spacing w:after="60"/>
      </w:pPr>
      <w:r>
        <w:rPr>
          <w:rFonts w:ascii="微软雅黑" w:hAnsi="微软雅黑" w:eastAsia="微软雅黑"/>
        </w:rPr>
        <w:t>[ ] 配图已按本表全部做好，图上文字与表内一字不差</w:t>
      </w:r>
    </w:p>
    <w:p>
      <w:pPr>
        <w:pStyle w:val="ListBullet"/>
        <w:spacing w:after="60"/>
      </w:pPr>
      <w:r>
        <w:rPr>
          <w:rFonts w:ascii="微软雅黑" w:hAnsi="微软雅黑" w:eastAsia="微软雅黑"/>
        </w:rPr>
        <w:t>[ ] 封面图尺寸比例已按本表设置</w:t>
      </w:r>
    </w:p>
    <w:p>
      <w:pPr>
        <w:pStyle w:val="ListBullet"/>
        <w:spacing w:after="60"/>
      </w:pPr>
      <w:r>
        <w:rPr>
          <w:rFonts w:ascii="微软雅黑" w:hAnsi="微软雅黑" w:eastAsia="微软雅黑"/>
        </w:rPr>
        <w:t>[ ] 未使用网上下载的医生护士患者摆拍照片</w:t>
      </w:r>
    </w:p>
    <w:p>
      <w:pPr>
        <w:pStyle w:val="ListBullet"/>
        <w:spacing w:after="60"/>
      </w:pPr>
      <w:r>
        <w:rPr>
          <w:rFonts w:ascii="微软雅黑" w:hAnsi="微软雅黑" w:eastAsia="微软雅黑"/>
        </w:rPr>
        <w:t>[ ] 未出现医院全名、医生姓名、患者真实照片</w:t>
      </w:r>
    </w:p>
    <w:p>
      <w:pPr>
        <w:pStyle w:val="ListBullet"/>
        <w:spacing w:after="60"/>
      </w:pPr>
      <w:r>
        <w:rPr>
          <w:rFonts w:ascii="微软雅黑" w:hAnsi="微软雅黑" w:eastAsia="微软雅黑"/>
        </w:rPr>
        <w:t>[ ] 未出现公司名（圆爱康、圆医、日建）</w:t>
      </w:r>
    </w:p>
    <w:p>
      <w:pPr>
        <w:pStyle w:val="ListBullet"/>
        <w:spacing w:after="60"/>
      </w:pPr>
      <w:r>
        <w:rPr>
          <w:rFonts w:ascii="微软雅黑" w:hAnsi="微软雅黑" w:eastAsia="微软雅黑"/>
        </w:rPr>
        <w:t>[ ] 未出现"上门康复服务""包治""根治""治愈率"等表述</w:t>
      </w:r>
    </w:p>
    <w:p>
      <w:pPr>
        <w:pStyle w:val="ListBullet"/>
        <w:spacing w:after="60"/>
      </w:pPr>
      <w:r>
        <w:rPr>
          <w:rFonts w:ascii="微软雅黑" w:hAnsi="微软雅黑" w:eastAsia="微软雅黑"/>
        </w:rPr>
        <w:t>[ ] 引用的研究结论均与原文一致，未做超出原文的延伸</w:t>
      </w:r>
    </w:p>
    <w:p>
      <w:pPr>
        <w:pStyle w:val="ListBullet"/>
        <w:spacing w:after="60"/>
      </w:pPr>
      <w:r>
        <w:rPr>
          <w:rFonts w:ascii="微软雅黑" w:hAnsi="微软雅黑" w:eastAsia="微软雅黑"/>
        </w:rPr>
        <w:t>[ ] 未出现"我们产品有效"一类结论，只引文献结论</w:t>
      </w:r>
    </w:p>
    <w:p>
      <w:pPr>
        <w:pStyle w:val="ListBullet"/>
        <w:spacing w:after="60"/>
      </w:pPr>
      <w:r>
        <w:rPr>
          <w:rFonts w:ascii="微软雅黑" w:hAnsi="微软雅黑" w:eastAsia="微软雅黑"/>
        </w:rPr>
        <w:t>[ ] 文末已带免责句（治疗方案遵医嘱）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微软雅黑"/>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微软雅黑"/>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微软雅黑"/>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eastAsia="微软雅黑"/>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