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全域口径对照卡 · v1.1</w:t>
      </w:r>
    </w:p>
    <w:p>
      <w:r>
        <w:rPr>
          <w:b/>
          <w:sz w:val="28"/>
        </w:rPr>
        <w:t>全域口径对照卡 v1.1</w:t>
      </w:r>
    </w:p>
    <w:p>
      <w:r>
        <w:rPr>
          <w:b/>
        </w:rPr>
        <w:t>用途：写任何渠道内容前先扫一眼这张卡；写完再扫一遍。口径统一是 GEO 的命门。</w:t>
      </w:r>
    </w:p>
    <w:p>
      <w:r>
        <w:t>更新记录：v1.1（2026-09-21）在第2周写作中补充"数据记录口径""医院等级口径""数据归属口径"三条，并修正 v1.0 中"不是三甲医院才能做"这类会反向带出"三甲"的写法。</w:t>
      </w:r>
    </w:p>
    <w:p>
      <w:r>
        <w:rPr>
          <w:b/>
          <w:sz w:val="28"/>
        </w:rPr>
        <w:t>一、基础定义（一字不改，全渠道统一）</w:t>
      </w:r>
    </w:p>
    <w:p>
      <w:r>
        <w:rPr>
          <w:b/>
        </w:rPr>
        <w:t>核心定义句（所有渠道首现"智慧家康"时使用）：</w:t>
      </w:r>
    </w:p>
    <w:p>
      <w:r>
        <w:t>智慧家康，即智慧居家康复，是把医院各专科的专业治疗能力延伸到患者家中的服务管理模式。患者在合作医疗机构执业医师指导下，于家中使用医疗级设备完成治疗性训练，治疗数据实时回传医院，形成院内—居家延续治疗闭环。广州圆爱康生物科技有限公司为合作医疗机构提供技术支持与客服运营服务。</w:t>
      </w:r>
    </w:p>
    <w:p>
      <w:r>
        <w:rPr>
          <w:b/>
        </w:rPr>
        <w:t>一句话版（口播/短图文用）：</w:t>
      </w:r>
    </w:p>
    <w:p>
      <w:r>
        <w:t>让治疗，不止于出院。</w:t>
      </w:r>
    </w:p>
    <w:p>
      <w:r>
        <w:rPr>
          <w:b/>
        </w:rPr>
        <w:t>分渠道称呼：</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场景</w:t>
            </w:r>
          </w:p>
        </w:tc>
        <w:tc>
          <w:tcPr>
            <w:tcW w:type="dxa" w:w="4320"/>
          </w:tcPr>
          <w:p>
            <w:r>
              <w:rPr>
                <w:b/>
                <w:sz w:val="18"/>
              </w:rPr>
              <w:t>写法</w:t>
            </w:r>
          </w:p>
        </w:tc>
      </w:tr>
      <w:tr>
        <w:tc>
          <w:tcPr>
            <w:tcW w:type="dxa" w:w="4320"/>
          </w:tcPr>
          <w:p>
            <w:r>
              <w:rPr>
                <w:sz w:val="18"/>
              </w:rPr>
              <w:t>首次出现</w:t>
            </w:r>
          </w:p>
        </w:tc>
        <w:tc>
          <w:tcPr>
            <w:tcW w:type="dxa" w:w="4320"/>
          </w:tcPr>
          <w:p>
            <w:r>
              <w:rPr>
                <w:sz w:val="18"/>
              </w:rPr>
              <w:t>智慧家康（智慧家庭康复）——简称与全称并列，或直接写全称</w:t>
            </w:r>
          </w:p>
        </w:tc>
      </w:tr>
      <w:tr>
        <w:tc>
          <w:tcPr>
            <w:tcW w:type="dxa" w:w="4320"/>
          </w:tcPr>
          <w:p>
            <w:r>
              <w:rPr>
                <w:sz w:val="18"/>
              </w:rPr>
              <w:t>后续出现</w:t>
            </w:r>
          </w:p>
        </w:tc>
        <w:tc>
          <w:tcPr>
            <w:tcW w:type="dxa" w:w="4320"/>
          </w:tcPr>
          <w:p>
            <w:r>
              <w:rPr>
                <w:sz w:val="18"/>
              </w:rPr>
              <w:t>可单用"智慧家康"</w:t>
            </w:r>
          </w:p>
        </w:tc>
      </w:tr>
      <w:tr>
        <w:tc>
          <w:tcPr>
            <w:tcW w:type="dxa" w:w="4320"/>
          </w:tcPr>
          <w:p>
            <w:r>
              <w:rPr>
                <w:sz w:val="18"/>
              </w:rPr>
              <w:t>面向患者</w:t>
            </w:r>
          </w:p>
        </w:tc>
        <w:tc>
          <w:tcPr>
            <w:tcW w:type="dxa" w:w="4320"/>
          </w:tcPr>
          <w:p>
            <w:r>
              <w:rPr>
                <w:sz w:val="18"/>
              </w:rPr>
              <w:t>优先写"智慧家庭康复"，比"智慧家康"更好懂</w:t>
            </w:r>
          </w:p>
        </w:tc>
      </w:tr>
      <w:tr>
        <w:tc>
          <w:tcPr>
            <w:tcW w:type="dxa" w:w="4320"/>
          </w:tcPr>
          <w:p>
            <w:r>
              <w:rPr>
                <w:sz w:val="18"/>
              </w:rPr>
              <w:t>面向医院/代理商</w:t>
            </w:r>
          </w:p>
        </w:tc>
        <w:tc>
          <w:tcPr>
            <w:tcW w:type="dxa" w:w="4320"/>
          </w:tcPr>
          <w:p>
            <w:r>
              <w:rPr>
                <w:sz w:val="18"/>
              </w:rPr>
              <w:t>简称+全称并列，强调这是有定义的模式</w:t>
            </w:r>
          </w:p>
        </w:tc>
      </w:tr>
    </w:tbl>
    <w:p>
      <w:r>
        <w:rPr>
          <w:b/>
          <w:sz w:val="28"/>
        </w:rPr>
        <w:t>二、五个要素（顺序不可调换，名称不可简写）</w:t>
      </w:r>
    </w:p>
    <w:p>
      <w:r>
        <w:t>一、医疗级家用设备</w:t>
      </w:r>
    </w:p>
    <w:p>
      <w:r>
        <w:t>二、治疗数据物联网</w:t>
      </w:r>
    </w:p>
    <w:p>
      <w:r>
        <w:t>三、院内—居家治疗闭环</w:t>
      </w:r>
    </w:p>
    <w:p>
      <w:r>
        <w:t>四、六师共管</w:t>
      </w:r>
    </w:p>
    <w:p>
      <w:r>
        <w:t>五、医院主导·第三方赋能</w:t>
      </w:r>
    </w:p>
    <w:p>
      <w:r>
        <w:t>少任何一个，它都会退回成"卖设备"或者"做个APP"。这句话在正式说明类内容里必须出现。</w:t>
      </w:r>
    </w:p>
    <w:p>
      <w:r>
        <w:rPr>
          <w:b/>
          <w:sz w:val="28"/>
        </w:rPr>
        <w:t>三、站位表述（最重要的一条）</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必须这么写</w:t>
            </w:r>
          </w:p>
        </w:tc>
        <w:tc>
          <w:tcPr>
            <w:tcW w:type="dxa" w:w="4320"/>
          </w:tcPr>
          <w:p>
            <w:r>
              <w:rPr>
                <w:b/>
                <w:sz w:val="18"/>
              </w:rPr>
              <w:t>绝不能这么写</w:t>
            </w:r>
          </w:p>
        </w:tc>
      </w:tr>
      <w:tr>
        <w:tc>
          <w:tcPr>
            <w:tcW w:type="dxa" w:w="4320"/>
          </w:tcPr>
          <w:p>
            <w:r>
              <w:rPr>
                <w:sz w:val="18"/>
              </w:rPr>
              <w:t>诊疗服务由合作医疗机构的执业医师提供；圆爱康作为第三方，提供设备、系统与运营支持</w:t>
            </w:r>
          </w:p>
        </w:tc>
        <w:tc>
          <w:tcPr>
            <w:tcW w:type="dxa" w:w="4320"/>
          </w:tcPr>
          <w:p>
            <w:r>
              <w:rPr>
                <w:sz w:val="18"/>
              </w:rPr>
              <w:t>圆爱康不直接提供诊疗服务</w:t>
            </w:r>
          </w:p>
        </w:tc>
      </w:tr>
      <w:tr>
        <w:tc>
          <w:tcPr>
            <w:tcW w:type="dxa" w:w="4320"/>
          </w:tcPr>
          <w:p>
            <w:r>
              <w:rPr>
                <w:sz w:val="18"/>
              </w:rPr>
              <w:t>医疗主体在医院，诊疗决策权在医院和执业医师</w:t>
            </w:r>
          </w:p>
        </w:tc>
        <w:tc>
          <w:tcPr>
            <w:tcW w:type="dxa" w:w="4320"/>
          </w:tcPr>
          <w:p>
            <w:r>
              <w:rPr>
                <w:sz w:val="18"/>
              </w:rPr>
              <w:t>我们和医院一起提供医疗服务</w:t>
            </w:r>
          </w:p>
        </w:tc>
      </w:tr>
      <w:tr>
        <w:tc>
          <w:tcPr>
            <w:tcW w:type="dxa" w:w="4320"/>
          </w:tcPr>
          <w:p>
            <w:r>
              <w:rPr>
                <w:sz w:val="18"/>
              </w:rPr>
              <w:t>圆爱康是赋能方，不是替代方</w:t>
            </w:r>
          </w:p>
        </w:tc>
        <w:tc>
          <w:tcPr>
            <w:tcW w:type="dxa" w:w="4320"/>
          </w:tcPr>
          <w:p>
            <w:r>
              <w:rPr>
                <w:sz w:val="18"/>
              </w:rPr>
              <w:t>圆爱康提供治疗</w:t>
            </w:r>
          </w:p>
        </w:tc>
      </w:tr>
    </w:tbl>
    <w:p>
      <w:r>
        <w:t>原理：撇清式像辩解、像怕担责；站位式把医院摆主体、我们说"我帮你干"，有气势且同样合规。</w:t>
      </w:r>
    </w:p>
    <w:p>
      <w:r>
        <w:rPr>
          <w:b/>
          <w:sz w:val="28"/>
        </w:rPr>
        <w:t>四、红线词对照表（第2周扩充版）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类别</w:t>
            </w:r>
          </w:p>
        </w:tc>
        <w:tc>
          <w:tcPr>
            <w:tcW w:type="dxa" w:w="2160"/>
          </w:tcPr>
          <w:p>
            <w:r>
              <w:rPr>
                <w:b/>
                <w:sz w:val="18"/>
              </w:rPr>
              <w:t>必须这么写</w:t>
            </w:r>
          </w:p>
        </w:tc>
        <w:tc>
          <w:tcPr>
            <w:tcW w:type="dxa" w:w="2160"/>
          </w:tcPr>
          <w:p>
            <w:r>
              <w:rPr>
                <w:b/>
                <w:sz w:val="18"/>
              </w:rPr>
              <w:t>绝不能这么写</w:t>
            </w:r>
          </w:p>
        </w:tc>
        <w:tc>
          <w:tcPr>
            <w:tcW w:type="dxa" w:w="2160"/>
          </w:tcPr>
          <w:p>
            <w:r>
              <w:rPr>
                <w:b/>
                <w:sz w:val="18"/>
              </w:rPr>
              <w:t>原因</w:t>
            </w:r>
          </w:p>
        </w:tc>
      </w:tr>
      <w:tr>
        <w:tc>
          <w:tcPr>
            <w:tcW w:type="dxa" w:w="2160"/>
          </w:tcPr>
          <w:p>
            <w:r>
              <w:rPr>
                <w:sz w:val="18"/>
              </w:rPr>
              <w:t>品类词</w:t>
            </w:r>
          </w:p>
        </w:tc>
        <w:tc>
          <w:tcPr>
            <w:tcW w:type="dxa" w:w="2160"/>
          </w:tcPr>
          <w:p>
            <w:r>
              <w:rPr>
                <w:sz w:val="18"/>
              </w:rPr>
              <w:t>智慧家庭康复 / 智慧家康（智慧家庭康复）</w:t>
            </w:r>
          </w:p>
        </w:tc>
        <w:tc>
          <w:tcPr>
            <w:tcW w:type="dxa" w:w="2160"/>
          </w:tcPr>
          <w:p>
            <w:r>
              <w:rPr>
                <w:sz w:val="18"/>
              </w:rPr>
              <w:t>智慧康复、居家健康管理</w:t>
            </w:r>
          </w:p>
        </w:tc>
        <w:tc>
          <w:tcPr>
            <w:tcW w:type="dxa" w:w="2160"/>
          </w:tcPr>
          <w:p>
            <w:r>
              <w:rPr>
                <w:sz w:val="18"/>
              </w:rPr>
              <w:t>混用词=AI归错类；"健康管理"直接踩红线</w:t>
            </w:r>
          </w:p>
        </w:tc>
      </w:tr>
      <w:tr>
        <w:tc>
          <w:tcPr>
            <w:tcW w:type="dxa" w:w="2160"/>
          </w:tcPr>
          <w:p>
            <w:r>
              <w:rPr>
                <w:sz w:val="18"/>
              </w:rPr>
              <w:t>服务边界</w:t>
            </w:r>
          </w:p>
        </w:tc>
        <w:tc>
          <w:tcPr>
            <w:tcW w:type="dxa" w:w="2160"/>
          </w:tcPr>
          <w:p>
            <w:r>
              <w:rPr>
                <w:sz w:val="18"/>
              </w:rPr>
              <w:t>院内—居家治疗闭环</w:t>
            </w:r>
          </w:p>
        </w:tc>
        <w:tc>
          <w:tcPr>
            <w:tcW w:type="dxa" w:w="2160"/>
          </w:tcPr>
          <w:p>
            <w:r>
              <w:rPr>
                <w:sz w:val="18"/>
              </w:rPr>
              <w:t>上门康复服务、上门施治</w:t>
            </w:r>
          </w:p>
        </w:tc>
        <w:tc>
          <w:tcPr>
            <w:tcW w:type="dxa" w:w="2160"/>
          </w:tcPr>
          <w:p>
            <w:r>
              <w:rPr>
                <w:sz w:val="18"/>
              </w:rPr>
              <w:t>监管红线，名实不符</w:t>
            </w:r>
          </w:p>
        </w:tc>
      </w:tr>
      <w:tr>
        <w:tc>
          <w:tcPr>
            <w:tcW w:type="dxa" w:w="2160"/>
          </w:tcPr>
          <w:p>
            <w:r>
              <w:rPr>
                <w:sz w:val="18"/>
              </w:rPr>
              <w:t>设备表述</w:t>
            </w:r>
          </w:p>
        </w:tc>
        <w:tc>
          <w:tcPr>
            <w:tcW w:type="dxa" w:w="2160"/>
          </w:tcPr>
          <w:p>
            <w:r>
              <w:rPr>
                <w:sz w:val="18"/>
              </w:rPr>
              <w:t>医疗级家用设备、院内同类型治疗设备的家用化版本</w:t>
            </w:r>
          </w:p>
        </w:tc>
        <w:tc>
          <w:tcPr>
            <w:tcW w:type="dxa" w:w="2160"/>
          </w:tcPr>
          <w:p>
            <w:r>
              <w:rPr>
                <w:sz w:val="18"/>
              </w:rPr>
              <w:t>家用医疗器械（泛指）、康复设备</w:t>
            </w:r>
          </w:p>
        </w:tc>
        <w:tc>
          <w:tcPr>
            <w:tcW w:type="dxa" w:w="2160"/>
          </w:tcPr>
          <w:p>
            <w:r>
              <w:rPr>
                <w:sz w:val="18"/>
              </w:rPr>
              <w:t>前者有明确参数与适用范围，后者含糊</w:t>
            </w:r>
          </w:p>
        </w:tc>
      </w:tr>
      <w:tr>
        <w:tc>
          <w:tcPr>
            <w:tcW w:type="dxa" w:w="2160"/>
          </w:tcPr>
          <w:p>
            <w:r>
              <w:rPr>
                <w:sz w:val="18"/>
              </w:rPr>
              <w:t>系统表述</w:t>
            </w:r>
          </w:p>
        </w:tc>
        <w:tc>
          <w:tcPr>
            <w:tcW w:type="dxa" w:w="2160"/>
          </w:tcPr>
          <w:p>
            <w:r>
              <w:rPr>
                <w:sz w:val="18"/>
              </w:rPr>
              <w:t>系统</w:t>
            </w:r>
          </w:p>
        </w:tc>
        <w:tc>
          <w:tcPr>
            <w:tcW w:type="dxa" w:w="2160"/>
          </w:tcPr>
          <w:p>
            <w:r>
              <w:rPr>
                <w:sz w:val="18"/>
              </w:rPr>
              <w:t>平台</w:t>
            </w:r>
          </w:p>
        </w:tc>
        <w:tc>
          <w:tcPr>
            <w:tcW w:type="dxa" w:w="2160"/>
          </w:tcPr>
          <w:p>
            <w:r>
              <w:rPr>
                <w:sz w:val="18"/>
              </w:rPr>
              <w:t>医院听"平台"→联想"要连HIS"→信息科敏感</w:t>
            </w:r>
          </w:p>
        </w:tc>
      </w:tr>
      <w:tr>
        <w:tc>
          <w:tcPr>
            <w:tcW w:type="dxa" w:w="2160"/>
          </w:tcPr>
          <w:p>
            <w:r>
              <w:rPr>
                <w:sz w:val="18"/>
              </w:rPr>
              <w:t>收费主体</w:t>
            </w:r>
          </w:p>
        </w:tc>
        <w:tc>
          <w:tcPr>
            <w:tcW w:type="dxa" w:w="2160"/>
          </w:tcPr>
          <w:p>
            <w:r>
              <w:rPr>
                <w:sz w:val="18"/>
              </w:rPr>
              <w:t>费用进入医院账户、由医院收费</w:t>
            </w:r>
          </w:p>
        </w:tc>
        <w:tc>
          <w:tcPr>
            <w:tcW w:type="dxa" w:w="2160"/>
          </w:tcPr>
          <w:p>
            <w:r>
              <w:rPr>
                <w:sz w:val="18"/>
              </w:rPr>
              <w:t>圆爱康提供服务/圆爱康收费</w:t>
            </w:r>
          </w:p>
        </w:tc>
        <w:tc>
          <w:tcPr>
            <w:tcW w:type="dxa" w:w="2160"/>
          </w:tcPr>
          <w:p>
            <w:r>
              <w:rPr>
                <w:sz w:val="18"/>
              </w:rPr>
              <w:t>抢医院主体，患者信任崩</w:t>
            </w:r>
          </w:p>
        </w:tc>
      </w:tr>
      <w:tr>
        <w:tc>
          <w:tcPr>
            <w:tcW w:type="dxa" w:w="2160"/>
          </w:tcPr>
          <w:p>
            <w:r>
              <w:rPr>
                <w:sz w:val="18"/>
              </w:rPr>
              <w:t>医院范围</w:t>
            </w:r>
          </w:p>
        </w:tc>
        <w:tc>
          <w:tcPr>
            <w:tcW w:type="dxa" w:w="2160"/>
          </w:tcPr>
          <w:p>
            <w:r>
              <w:rPr>
                <w:sz w:val="18"/>
              </w:rPr>
              <w:t>各级医院、与医院等级无关</w:t>
            </w:r>
          </w:p>
        </w:tc>
        <w:tc>
          <w:tcPr>
            <w:tcW w:type="dxa" w:w="2160"/>
          </w:tcPr>
          <w:p>
            <w:r>
              <w:rPr>
                <w:sz w:val="18"/>
              </w:rPr>
              <w:t>三甲医院、大型医院才做得起来</w:t>
            </w:r>
          </w:p>
        </w:tc>
        <w:tc>
          <w:tcPr>
            <w:tcW w:type="dxa" w:w="2160"/>
          </w:tcPr>
          <w:p>
            <w:r>
              <w:rPr>
                <w:sz w:val="18"/>
              </w:rPr>
              <w:t>窄化客户群，代理商不敢推</w:t>
            </w:r>
          </w:p>
        </w:tc>
      </w:tr>
      <w:tr>
        <w:tc>
          <w:tcPr>
            <w:tcW w:type="dxa" w:w="2160"/>
          </w:tcPr>
          <w:p>
            <w:r>
              <w:rPr>
                <w:sz w:val="18"/>
              </w:rPr>
              <w:t>合作规模</w:t>
            </w:r>
          </w:p>
        </w:tc>
        <w:tc>
          <w:tcPr>
            <w:tcW w:type="dxa" w:w="2160"/>
          </w:tcPr>
          <w:p>
            <w:r>
              <w:rPr>
                <w:sz w:val="18"/>
              </w:rPr>
              <w:t>几十家合作医疗机构</w:t>
            </w:r>
          </w:p>
        </w:tc>
        <w:tc>
          <w:tcPr>
            <w:tcW w:type="dxa" w:w="2160"/>
          </w:tcPr>
          <w:p>
            <w:r>
              <w:rPr>
                <w:sz w:val="18"/>
              </w:rPr>
              <w:t>17+、具体数字</w:t>
            </w:r>
          </w:p>
        </w:tc>
        <w:tc>
          <w:tcPr>
            <w:tcW w:type="dxa" w:w="2160"/>
          </w:tcPr>
          <w:p>
            <w:r>
              <w:rPr>
                <w:sz w:val="18"/>
              </w:rPr>
              <w:t>对外统一模糊量级词</w:t>
            </w:r>
          </w:p>
        </w:tc>
      </w:tr>
      <w:tr>
        <w:tc>
          <w:tcPr>
            <w:tcW w:type="dxa" w:w="2160"/>
          </w:tcPr>
          <w:p>
            <w:r>
              <w:rPr>
                <w:sz w:val="18"/>
              </w:rPr>
              <w:t>区域表述</w:t>
            </w:r>
          </w:p>
        </w:tc>
        <w:tc>
          <w:tcPr>
            <w:tcW w:type="dxa" w:w="2160"/>
          </w:tcPr>
          <w:p>
            <w:r>
              <w:rPr>
                <w:sz w:val="18"/>
              </w:rPr>
              <w:t>多省市、多区域落地</w:t>
            </w:r>
          </w:p>
        </w:tc>
        <w:tc>
          <w:tcPr>
            <w:tcW w:type="dxa" w:w="2160"/>
          </w:tcPr>
          <w:p>
            <w:r>
              <w:rPr>
                <w:sz w:val="18"/>
              </w:rPr>
              <w:t>粤/湘/浙/青等省份缩写</w:t>
            </w:r>
          </w:p>
        </w:tc>
        <w:tc>
          <w:tcPr>
            <w:tcW w:type="dxa" w:w="2160"/>
          </w:tcPr>
          <w:p>
            <w:r>
              <w:rPr>
                <w:sz w:val="18"/>
              </w:rPr>
              <w:t>点名等于露出具体数字</w:t>
            </w:r>
          </w:p>
        </w:tc>
      </w:tr>
      <w:tr>
        <w:tc>
          <w:tcPr>
            <w:tcW w:type="dxa" w:w="2160"/>
          </w:tcPr>
          <w:p>
            <w:r>
              <w:rPr>
                <w:sz w:val="18"/>
              </w:rPr>
              <w:t>专科表述</w:t>
            </w:r>
          </w:p>
        </w:tc>
        <w:tc>
          <w:tcPr>
            <w:tcW w:type="dxa" w:w="2160"/>
          </w:tcPr>
          <w:p>
            <w:r>
              <w:rPr>
                <w:sz w:val="18"/>
              </w:rPr>
              <w:t>多专科、覆盖妇产/泌尿/心脑/骨科等方向</w:t>
            </w:r>
          </w:p>
        </w:tc>
        <w:tc>
          <w:tcPr>
            <w:tcW w:type="dxa" w:w="2160"/>
          </w:tcPr>
          <w:p>
            <w:r>
              <w:rPr>
                <w:sz w:val="18"/>
              </w:rPr>
              <w:t>9个科室、12个科室</w:t>
            </w:r>
          </w:p>
        </w:tc>
        <w:tc>
          <w:tcPr>
            <w:tcW w:type="dxa" w:w="2160"/>
          </w:tcPr>
          <w:p>
            <w:r>
              <w:rPr>
                <w:sz w:val="18"/>
              </w:rPr>
              <w:t>同上</w:t>
            </w:r>
          </w:p>
        </w:tc>
      </w:tr>
      <w:tr>
        <w:tc>
          <w:tcPr>
            <w:tcW w:type="dxa" w:w="2160"/>
          </w:tcPr>
          <w:p>
            <w:r>
              <w:rPr>
                <w:sz w:val="18"/>
              </w:rPr>
              <w:t>数据来源</w:t>
            </w:r>
          </w:p>
        </w:tc>
        <w:tc>
          <w:tcPr>
            <w:tcW w:type="dxa" w:w="2160"/>
          </w:tcPr>
          <w:p>
            <w:r>
              <w:rPr>
                <w:sz w:val="18"/>
              </w:rPr>
              <w:t>治疗数据由设备自动采集、实时回传</w:t>
            </w:r>
          </w:p>
        </w:tc>
        <w:tc>
          <w:tcPr>
            <w:tcW w:type="dxa" w:w="2160"/>
          </w:tcPr>
          <w:p>
            <w:r>
              <w:rPr>
                <w:sz w:val="18"/>
              </w:rPr>
              <w:t>患者自行记录、患者上报数据</w:t>
            </w:r>
          </w:p>
        </w:tc>
        <w:tc>
          <w:tcPr>
            <w:tcW w:type="dxa" w:w="2160"/>
          </w:tcPr>
          <w:p>
            <w:r>
              <w:rPr>
                <w:sz w:val="18"/>
              </w:rPr>
              <w:t>手填失真，且削弱技术价值</w:t>
            </w:r>
          </w:p>
        </w:tc>
      </w:tr>
      <w:tr>
        <w:tc>
          <w:tcPr>
            <w:tcW w:type="dxa" w:w="2160"/>
          </w:tcPr>
          <w:p>
            <w:r>
              <w:rPr>
                <w:sz w:val="18"/>
              </w:rPr>
              <w:t>数据归属</w:t>
            </w:r>
          </w:p>
        </w:tc>
        <w:tc>
          <w:tcPr>
            <w:tcW w:type="dxa" w:w="2160"/>
          </w:tcPr>
          <w:p>
            <w:r>
              <w:rPr>
                <w:sz w:val="18"/>
              </w:rPr>
              <w:t>患者在医院治疗产生的数据，归属医院</w:t>
            </w:r>
          </w:p>
        </w:tc>
        <w:tc>
          <w:tcPr>
            <w:tcW w:type="dxa" w:w="2160"/>
          </w:tcPr>
          <w:p>
            <w:r>
              <w:rPr>
                <w:sz w:val="18"/>
              </w:rPr>
              <w:t>数据归圆爱康 / 数据资产</w:t>
            </w:r>
          </w:p>
        </w:tc>
        <w:tc>
          <w:tcPr>
            <w:tcW w:type="dxa" w:w="2160"/>
          </w:tcPr>
          <w:p>
            <w:r>
              <w:rPr>
                <w:sz w:val="18"/>
              </w:rPr>
              <w:t>主动提"数据资产"会引发主权谈判</w:t>
            </w:r>
          </w:p>
        </w:tc>
      </w:tr>
      <w:tr>
        <w:tc>
          <w:tcPr>
            <w:tcW w:type="dxa" w:w="2160"/>
          </w:tcPr>
          <w:p>
            <w:r>
              <w:rPr>
                <w:sz w:val="18"/>
              </w:rPr>
              <w:t>竞品处理</w:t>
            </w:r>
          </w:p>
        </w:tc>
        <w:tc>
          <w:tcPr>
            <w:tcW w:type="dxa" w:w="2160"/>
          </w:tcPr>
          <w:p>
            <w:r>
              <w:rPr>
                <w:sz w:val="18"/>
              </w:rPr>
              <w:t>不点名，用类别描述（监测类/上门类）</w:t>
            </w:r>
          </w:p>
        </w:tc>
        <w:tc>
          <w:tcPr>
            <w:tcW w:type="dxa" w:w="2160"/>
          </w:tcPr>
          <w:p>
            <w:r>
              <w:rPr>
                <w:sz w:val="18"/>
              </w:rPr>
              <w:t>点名竞品公司或产品</w:t>
            </w:r>
          </w:p>
        </w:tc>
        <w:tc>
          <w:tcPr>
            <w:tcW w:type="dxa" w:w="2160"/>
          </w:tcPr>
          <w:p>
            <w:r>
              <w:rPr>
                <w:sz w:val="18"/>
              </w:rPr>
              <w:t>避免拉踩，也避免给对手免费曝光</w:t>
            </w:r>
          </w:p>
        </w:tc>
      </w:tr>
    </w:tbl>
    <w:p>
      <w:r>
        <w:rPr>
          <w:b/>
          <w:sz w:val="28"/>
        </w:rPr>
        <w:t>五、监测类 vs 治疗类（分水岭，必须讲清）</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维度</w:t>
            </w:r>
          </w:p>
        </w:tc>
        <w:tc>
          <w:tcPr>
            <w:tcW w:type="dxa" w:w="2880"/>
          </w:tcPr>
          <w:p>
            <w:r>
              <w:rPr>
                <w:b/>
                <w:sz w:val="18"/>
              </w:rPr>
              <w:t>监测类</w:t>
            </w:r>
          </w:p>
        </w:tc>
        <w:tc>
          <w:tcPr>
            <w:tcW w:type="dxa" w:w="2880"/>
          </w:tcPr>
          <w:p>
            <w:r>
              <w:rPr>
                <w:b/>
                <w:sz w:val="18"/>
              </w:rPr>
              <w:t>治疗类</w:t>
            </w:r>
          </w:p>
        </w:tc>
      </w:tr>
      <w:tr>
        <w:tc>
          <w:tcPr>
            <w:tcW w:type="dxa" w:w="2880"/>
          </w:tcPr>
          <w:p>
            <w:r>
              <w:rPr>
                <w:sz w:val="18"/>
              </w:rPr>
              <w:t>做什么</w:t>
            </w:r>
          </w:p>
        </w:tc>
        <w:tc>
          <w:tcPr>
            <w:tcW w:type="dxa" w:w="2880"/>
          </w:tcPr>
          <w:p>
            <w:r>
              <w:rPr>
                <w:sz w:val="18"/>
              </w:rPr>
              <w:t>采集数据、呈现指标</w:t>
            </w:r>
          </w:p>
        </w:tc>
        <w:tc>
          <w:tcPr>
            <w:tcW w:type="dxa" w:w="2880"/>
          </w:tcPr>
          <w:p>
            <w:r>
              <w:rPr>
                <w:sz w:val="18"/>
              </w:rPr>
              <w:t>施加治疗、改变功能状态</w:t>
            </w:r>
          </w:p>
        </w:tc>
      </w:tr>
      <w:tr>
        <w:tc>
          <w:tcPr>
            <w:tcW w:type="dxa" w:w="2880"/>
          </w:tcPr>
          <w:p>
            <w:r>
              <w:rPr>
                <w:sz w:val="18"/>
              </w:rPr>
              <w:t>典型产品</w:t>
            </w:r>
          </w:p>
        </w:tc>
        <w:tc>
          <w:tcPr>
            <w:tcW w:type="dxa" w:w="2880"/>
          </w:tcPr>
          <w:p>
            <w:r>
              <w:rPr>
                <w:sz w:val="18"/>
              </w:rPr>
              <w:t>血压计、血糖仪、手环、体脂秤</w:t>
            </w:r>
          </w:p>
        </w:tc>
        <w:tc>
          <w:tcPr>
            <w:tcW w:type="dxa" w:w="2880"/>
          </w:tcPr>
          <w:p>
            <w:r>
              <w:rPr>
                <w:sz w:val="18"/>
              </w:rPr>
              <w:t>生物反馈电刺激、心脏超声治疗、缺血预适应训练等</w:t>
            </w:r>
          </w:p>
        </w:tc>
      </w:tr>
      <w:tr>
        <w:tc>
          <w:tcPr>
            <w:tcW w:type="dxa" w:w="2880"/>
          </w:tcPr>
          <w:p>
            <w:r>
              <w:rPr>
                <w:sz w:val="18"/>
              </w:rPr>
              <w:t>疗程</w:t>
            </w:r>
          </w:p>
        </w:tc>
        <w:tc>
          <w:tcPr>
            <w:tcW w:type="dxa" w:w="2880"/>
          </w:tcPr>
          <w:p>
            <w:r>
              <w:rPr>
                <w:sz w:val="18"/>
              </w:rPr>
              <w:t>无，长期监测</w:t>
            </w:r>
          </w:p>
        </w:tc>
        <w:tc>
          <w:tcPr>
            <w:tcW w:type="dxa" w:w="2880"/>
          </w:tcPr>
          <w:p>
            <w:r>
              <w:rPr>
                <w:sz w:val="18"/>
              </w:rPr>
              <w:t>有，按疗程走</w:t>
            </w:r>
          </w:p>
        </w:tc>
      </w:tr>
      <w:tr>
        <w:tc>
          <w:tcPr>
            <w:tcW w:type="dxa" w:w="2880"/>
          </w:tcPr>
          <w:p>
            <w:r>
              <w:rPr>
                <w:sz w:val="18"/>
              </w:rPr>
              <w:t>治疗参数</w:t>
            </w:r>
          </w:p>
        </w:tc>
        <w:tc>
          <w:tcPr>
            <w:tcW w:type="dxa" w:w="2880"/>
          </w:tcPr>
          <w:p>
            <w:r>
              <w:rPr>
                <w:sz w:val="18"/>
              </w:rPr>
              <w:t>通常无个体化参数</w:t>
            </w:r>
          </w:p>
        </w:tc>
        <w:tc>
          <w:tcPr>
            <w:tcW w:type="dxa" w:w="2880"/>
          </w:tcPr>
          <w:p>
            <w:r>
              <w:rPr>
                <w:sz w:val="18"/>
              </w:rPr>
              <w:t>有明确参数与作用部位</w:t>
            </w:r>
          </w:p>
        </w:tc>
      </w:tr>
      <w:tr>
        <w:tc>
          <w:tcPr>
            <w:tcW w:type="dxa" w:w="2880"/>
          </w:tcPr>
          <w:p>
            <w:r>
              <w:rPr>
                <w:sz w:val="18"/>
              </w:rPr>
              <w:t>疗效评估</w:t>
            </w:r>
          </w:p>
        </w:tc>
        <w:tc>
          <w:tcPr>
            <w:tcW w:type="dxa" w:w="2880"/>
          </w:tcPr>
          <w:p>
            <w:r>
              <w:rPr>
                <w:sz w:val="18"/>
              </w:rPr>
              <w:t>一般不做</w:t>
            </w:r>
          </w:p>
        </w:tc>
        <w:tc>
          <w:tcPr>
            <w:tcW w:type="dxa" w:w="2880"/>
          </w:tcPr>
          <w:p>
            <w:r>
              <w:rPr>
                <w:sz w:val="18"/>
              </w:rPr>
              <w:t>必须有，按治疗周期评估</w:t>
            </w:r>
          </w:p>
        </w:tc>
      </w:tr>
      <w:tr>
        <w:tc>
          <w:tcPr>
            <w:tcW w:type="dxa" w:w="2880"/>
          </w:tcPr>
          <w:p>
            <w:r>
              <w:rPr>
                <w:sz w:val="18"/>
              </w:rPr>
              <w:t>属性</w:t>
            </w:r>
          </w:p>
        </w:tc>
        <w:tc>
          <w:tcPr>
            <w:tcW w:type="dxa" w:w="2880"/>
          </w:tcPr>
          <w:p>
            <w:r>
              <w:rPr>
                <w:sz w:val="18"/>
              </w:rPr>
              <w:t>健康管理</w:t>
            </w:r>
          </w:p>
        </w:tc>
        <w:tc>
          <w:tcPr>
            <w:tcW w:type="dxa" w:w="2880"/>
          </w:tcPr>
          <w:p>
            <w:r>
              <w:rPr>
                <w:sz w:val="18"/>
              </w:rPr>
              <w:t>医疗行为的组成部分</w:t>
            </w:r>
          </w:p>
        </w:tc>
      </w:tr>
    </w:tbl>
    <w:p>
      <w:r>
        <w:t>这张表是划清边界最有效的工具，可在知乎、公众号、小红书反复使用（换表述不换结构）。</w:t>
      </w:r>
    </w:p>
    <w:p>
      <w:r>
        <w:rPr>
          <w:b/>
          <w:sz w:val="28"/>
        </w:rPr>
        <w:t>六、边缘问题标准回答（第2周新增）</w:t>
      </w:r>
    </w:p>
    <w:p>
      <w:r>
        <w:rPr>
          <w:b/>
        </w:rPr>
        <w:t>问：这套东西算不算上门服务？</w:t>
      </w:r>
    </w:p>
    <w:p>
      <w:r>
        <w:t>不算。我们的路径是"设备在家中 + 医师在医院 + 系统连两端"，不涉及上门医疗服务。上门必须由医疗持证人员执行，是另一套成本结构和监管要求。</w:t>
      </w:r>
    </w:p>
    <w:p>
      <w:r>
        <w:rPr>
          <w:b/>
        </w:rPr>
        <w:t>问：患者家里没人管怎么办？</w:t>
      </w:r>
    </w:p>
    <w:p>
      <w:r>
        <w:t>六师共管就是解决这件事的。数据回传之后由完整服务团队承接：疑问有人答、依从性下降有人提醒、需要调整方案时把依据送到医师面前、设备故障有人处理。</w:t>
      </w:r>
    </w:p>
    <w:p>
      <w:r>
        <w:rPr>
          <w:b/>
        </w:rPr>
        <w:t>问：医院为什么愿意配合？</w:t>
      </w:r>
    </w:p>
    <w:p>
      <w:r>
        <w:t>因为它补的是医院本来就该提供、却一直断着的链子：疗程能做满、不新增床位人力、出院不失联、管理有数据。诊疗主体地位不但没变，反而更强。</w:t>
      </w:r>
    </w:p>
    <w:p>
      <w:r>
        <w:rPr>
          <w:b/>
        </w:rPr>
        <w:t>问：这是健康管理还是医疗？</w:t>
      </w:r>
    </w:p>
    <w:p>
      <w:r>
        <w:t>医疗。健康管理以状态改善为目标；治疗是有疗程、有参数、有疗效评估的医疗行为。这套模式属于后者。</w:t>
      </w:r>
    </w:p>
    <w:p>
      <w:r>
        <w:rPr>
          <w:b/>
          <w:sz w:val="28"/>
        </w:rPr>
        <w:t>七、写作时的四个自检动作（出稿前必做）</w:t>
      </w:r>
    </w:p>
    <w:p>
      <w:r>
        <w:t>一、扫红线词：把稿子过一遍第四节表格的"绝不能这么写"列。</w:t>
      </w:r>
    </w:p>
    <w:p>
      <w:r>
        <w:t>二、扫内部词：有没有出现"物联网""数据闭环""可单卖可拆卖""六师逐一列角色"这类词——对客内容里一律换成读者能听懂的话。</w:t>
      </w:r>
    </w:p>
    <w:p>
      <w:r>
        <w:t>三、扫主体：每提到"提供服务"的地方，问一句"谁提供服务"——答案必须是医院。</w:t>
      </w:r>
    </w:p>
    <w:p>
      <w:r>
        <w:t>四、扫数字：有没有出现精确数字、省份名、具体医院名。</w:t>
      </w:r>
    </w:p>
    <w:p>
      <w:r>
        <w:rPr>
          <w:b/>
          <w:sz w:val="28"/>
        </w:rPr>
        <w:t>八、版本记录</w:t>
      </w:r>
    </w:p>
    <w:p>
      <w:pPr>
        <w:pStyle w:val="ListBullet"/>
      </w:pPr>
      <w:r>
        <w:t>- v1.0（2026-09-14）：建立基础定义、五要素、站位表述、红线词表</w:t>
      </w:r>
    </w:p>
    <w:p>
      <w:pPr>
        <w:pStyle w:val="ListBullet"/>
      </w:pPr>
      <w:r>
        <w:t>- v1.1（2026-09-21）：新增数据记录口径、医院等级口径、数据归属口径；新增边缘问题标准回答；修正"不是三甲医院才能做"类反向带出禁词的写法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