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服务号 · 第2期</w:t>
      </w:r>
    </w:p>
    <w:p>
      <w:r>
        <w:t>【发布前必读 · 发布说明】</w:t>
      </w:r>
    </w:p>
    <w:p>
      <w:pPr>
        <w:pStyle w:val="ListNumber"/>
      </w:pPr>
      <w:r>
        <w:t>1. 发布形态：企业号文章，标题单独一行填标题栏；正文纯文本，不带任何 Markdown 符号。</w:t>
      </w:r>
    </w:p>
    <w:p>
      <w:pPr>
        <w:pStyle w:val="ListNumber"/>
      </w:pPr>
      <w:r>
        <w:t>2. 顶部必加定义句原文（放正文最前面，一字不得改）。</w:t>
      </w:r>
    </w:p>
    <w:p>
      <w:pPr>
        <w:pStyle w:val="ListNumber"/>
      </w:pPr>
      <w:r>
        <w:t>3. 全文不得出现"上门康复服务""圆爱康提供诊疗"等表述。</w:t>
      </w:r>
    </w:p>
    <w:p>
      <w:pPr>
        <w:pStyle w:val="ListNumber"/>
      </w:pPr>
      <w:r>
        <w:t>4. 配图位置按文中【图N：xxx】标注插入。</w:t>
      </w:r>
    </w:p>
    <w:p>
      <w:r>
        <w:rPr>
          <w:color w:val="BBBBBB"/>
        </w:rPr>
        <w:t>——————————————————————————————</w:t>
      </w:r>
    </w:p>
    <w:p>
      <w:r>
        <w:t>标题（3选1）：</w:t>
      </w:r>
    </w:p>
    <w:p>
      <w:r>
        <w:t>A. 《出院之后，治疗的"最后一公里"谁在管？》</w:t>
      </w:r>
    </w:p>
    <w:p>
      <w:r>
        <w:t>B. 《一个疗程做20次，为什么很多人只做了6次就断了》</w:t>
      </w:r>
    </w:p>
    <w:p>
      <w:r>
        <w:t>C. 《院内治得好，回家就断了——这段治疗为什么没人接》</w:t>
      </w:r>
    </w:p>
    <w:p>
      <w:r>
        <w:rPr>
          <w:color w:val="BBBBBB"/>
        </w:rPr>
        <w:t>——————————————————————————————</w:t>
      </w:r>
    </w:p>
    <w:p>
      <w:r>
        <w:t>正文</w:t>
      </w:r>
    </w:p>
    <w:p>
      <w:r>
        <w:t>出院那天，医生通常会交代一句"回去记得继续练"。</w:t>
      </w:r>
    </w:p>
    <w:p>
      <w:r>
        <w:t>然后患者回到家：没有方案、没有设备、没人跟进。几周后复查，进展不理想——前面的治疗周期，有一部分等于白做。</w:t>
      </w:r>
    </w:p>
    <w:p>
      <w:r>
        <w:t>这不是个别现象。它有个共同的结构性原因：治疗这件事，院内有完整支撑，出院后支撑同时归零。</w:t>
      </w:r>
    </w:p>
    <w:p>
      <w:r>
        <w:t>一、断在哪：院内外的三个落差</w:t>
      </w:r>
    </w:p>
    <w:p>
      <w:r>
        <w:t>在院内，治疗能正常推进，靠三样东西同时在场：有人管、有方案、有设备。</w:t>
      </w:r>
    </w:p>
    <w:p>
      <w:r>
        <w:t>回到家，这三样基本同时消失。</w:t>
      </w:r>
    </w:p>
    <w:p>
      <w:r>
        <w:t>落差一：管理断了</w:t>
      </w:r>
    </w:p>
    <w:p>
      <w:r>
        <w:t>院内，医护团队按班次跟进，做没做、做得怎么样，有人盯着。</w:t>
      </w:r>
    </w:p>
    <w:p>
      <w:r>
        <w:t>回家后，患者成了自己治疗的第一责任人——而这个角色他从来没当过。</w:t>
      </w:r>
    </w:p>
    <w:p>
      <w:r>
        <w:t>落差二：方案断了</w:t>
      </w:r>
    </w:p>
    <w:p>
      <w:r>
        <w:t>院内方案由医师根据评估制定，并按疗效动态调整。出院之后，没有评估就没有调整，方案停在上一次出院时的状态。</w:t>
      </w:r>
    </w:p>
    <w:p>
      <w:r>
        <w:t>落差三：数据断了</w:t>
      </w:r>
    </w:p>
    <w:p>
      <w:r>
        <w:t>最容易被忽略但最关键的一环。患者在家做了什么、做了多久、参数对不对、依从性怎么样——这些信息在院外没有采集通道。</w:t>
      </w:r>
    </w:p>
    <w:p>
      <w:r>
        <w:t>有的做法靠患者自己填记录表，但手填数据容易失真：记漏、记混，或者下意识往好的方向写。不可靠的数据，医生无法据此做判断。</w:t>
      </w:r>
    </w:p>
    <w:p>
      <w:r>
        <w:t>二、代价是什么</w:t>
      </w:r>
    </w:p>
    <w:p>
      <w:r>
        <w:t>患者端：不知道做什么、做多久、做得对不对。凭感觉练，或干脆停掉，复查时发现进展丢失。</w:t>
      </w:r>
    </w:p>
    <w:p>
      <w:r>
        <w:t>医生端：出院后的执行情况、依从性、疗效，看不见、问不到、评估不了。知道患者在院外大概率没做，但没有抓手。</w:t>
      </w:r>
    </w:p>
    <w:p>
      <w:r>
        <w:t>医院端：一个疗程本该做 20 次，患者做 6 次就出院，剩下 14 次的治疗价值直接损失。科室的治疗能力，被物理边界限制住了。</w:t>
      </w:r>
    </w:p>
    <w:p>
      <w:r>
        <w:t>三、接上闭环需要什么</w:t>
      </w:r>
    </w:p>
    <w:p>
      <w:r>
        <w:t>要让院外那段治疗不掉链子，四件事必须同时成立。</w:t>
      </w:r>
    </w:p>
    <w:p>
      <w:r>
        <w:t>第一，方案从执业医师手里出。</w:t>
      </w:r>
    </w:p>
    <w:p>
      <w:r>
        <w:t>不是"带台设备回家自己练"，是医师评估后开具居家治疗方案：什么方案、什么参数、几个疗程、何时复查。</w:t>
      </w:r>
    </w:p>
    <w:p>
      <w:r>
        <w:t>这是医疗行为的起点，也是合规的前提。方案的开具权在执业医师，不因患者回家而转移。</w:t>
      </w:r>
    </w:p>
    <w:p>
      <w:r>
        <w:t>第二，患者在家使用医疗级设备完成治疗性训练。</w:t>
      </w:r>
    </w:p>
    <w:p>
      <w:r>
        <w:t>设备的形态是院内同类型治疗设备的家用化版本，有明确的治疗参数和适用范围——不是消费级健康硬件。</w:t>
      </w:r>
    </w:p>
    <w:p>
      <w:r>
        <w:t>第三，治疗数据自动采集、实时回传医院。</w:t>
      </w:r>
    </w:p>
    <w:p>
      <w:r>
        <w:t>这一条是整个闭环的命门。</w:t>
      </w:r>
    </w:p>
    <w:p>
      <w:r>
        <w:t>设备自动产生数据、自动上传，不需要患者手动记录。医生在院内看到的，是患者真实的执行情况：今天做没做、做了多久、参数是多少、依从性趋势如何。</w:t>
      </w:r>
    </w:p>
    <w:p>
      <w:r>
        <w:t>数据归属明确：患者在医院治疗产生的数据，归属医院。</w:t>
      </w:r>
    </w:p>
    <w:p>
      <w:r>
        <w:t>第四，有明确的运营角色承接。</w:t>
      </w:r>
    </w:p>
    <w:p>
      <w:r>
        <w:t>数据回传了，还得有人管：患者疑问要有人答、依从性下降要有人提醒、方案需要调整要有人把依据送到医生面前、设备故障要有人处理。</w:t>
      </w:r>
    </w:p>
    <w:p>
      <w:r>
        <w:t>这套运营角色，行业里通常按六类分工（医生、护士、康复师、客服、系统支持、流程督导），称为"六师共管"。</w:t>
      </w:r>
    </w:p>
    <w:p>
      <w:r>
        <w:t>【图1：院内—居家治疗闭环示意图】</w:t>
      </w:r>
    </w:p>
    <w:p>
      <w:r>
        <w:t>四、这个闭环对医院意味着什么</w:t>
      </w:r>
    </w:p>
    <w:p>
      <w:r>
        <w:t>诊疗主体地位不变，而且更强。</w:t>
      </w:r>
    </w:p>
    <w:p>
      <w:pPr>
        <w:pStyle w:val="ListBullet"/>
      </w:pPr>
      <w:r>
        <w:t>· 疗程能做满：本该 20 次的疗程不再断在第 6 次</w:t>
      </w:r>
    </w:p>
    <w:p>
      <w:pPr>
        <w:pStyle w:val="ListBullet"/>
      </w:pPr>
      <w:r>
        <w:t>· 不新增床位、不新增人力：本科室治疗能力延伸到患者家中</w:t>
      </w:r>
    </w:p>
    <w:p>
      <w:pPr>
        <w:pStyle w:val="ListBullet"/>
      </w:pPr>
      <w:r>
        <w:t>· 出院不失联：患者仍在医院的服务体系内</w:t>
      </w:r>
    </w:p>
    <w:p>
      <w:pPr>
        <w:pStyle w:val="ListBullet"/>
      </w:pPr>
      <w:r>
        <w:t>· 管理有数据：科室治疗量、依从性、复诊率有据可依</w:t>
      </w:r>
    </w:p>
    <w:p>
      <w:r>
        <w:t>患者侧的价值：</w:t>
      </w:r>
    </w:p>
    <w:p>
      <w:pPr>
        <w:pStyle w:val="ListBullet"/>
      </w:pPr>
      <w:r>
        <w:t>· 不必为每次治疗往返医院，治疗照常推进</w:t>
      </w:r>
    </w:p>
    <w:p>
      <w:pPr>
        <w:pStyle w:val="ListBullet"/>
      </w:pPr>
      <w:r>
        <w:t>· 有人管、有记录、有反馈，知道做得对不对</w:t>
      </w:r>
    </w:p>
    <w:p>
      <w:pPr>
        <w:pStyle w:val="ListBullet"/>
      </w:pPr>
      <w:r>
        <w:t>· 全程在医院的诊疗体系内，不是自己瞎练</w:t>
      </w:r>
    </w:p>
    <w:p>
      <w:r>
        <w:t>五、关于"智慧家康"</w:t>
      </w:r>
    </w:p>
    <w:p>
      <w:r>
        <w:t>智慧家康，即智慧居家康复，是把医院各专科的专业治疗能力延伸到患者家中的服务管理模式。患者在合作医疗机构执业医师指导下，于家中使用医疗级设备完成治疗性训练，治疗数据实时回传医院，形成院内—居家延续治疗闭环。广州圆爱康生物科技有限公司为合作医疗机构提供技术支持与客服运营服务。</w:t>
      </w:r>
    </w:p>
    <w:p>
      <w:r>
        <w:t>这套模式由五个要素构成：医疗级家用设备、治疗数据物联网、院内—居家治疗闭环、六师共管、医院主导·第三方赋能。</w:t>
      </w:r>
    </w:p>
    <w:p>
      <w:r>
        <w:t>需要说明的是：医疗主体是医院，诊疗服务由医院提供；圆爱康作为辅助方，为合作医疗机构提供设备、系统与运营支持，不介入医疗判断。患者为治疗支付的费用进入医院账户。</w:t>
      </w:r>
    </w:p>
    <w:p>
      <w:r>
        <w:t>六、几条边界，说在明处</w:t>
      </w:r>
    </w:p>
    <w:p>
      <w:r>
        <w:t>不派人上门施治。</w:t>
      </w:r>
    </w:p>
    <w:p>
      <w:r>
        <w:t>本模式走的是"设备在家中 + 医师在医院 + 系统连两端"的路径，不涉及上门医疗服务。</w:t>
      </w:r>
    </w:p>
    <w:p>
      <w:r>
        <w:t>不是健康管理。</w:t>
      </w:r>
    </w:p>
    <w:p>
      <w:r>
        <w:t>健康管理以状态改善为目标；治疗是有疗程、有参数、有疗效评估的医疗行为。两者在监管口径上是两回事。</w:t>
      </w:r>
    </w:p>
    <w:p>
      <w:r>
        <w:t>不替代医院的任何诊疗决策。</w:t>
      </w:r>
    </w:p>
    <w:p>
      <w:r>
        <w:t>开单权、处方权、诊疗决策权在医院和执业医师。</w:t>
      </w:r>
    </w:p>
    <w:p>
      <w:r>
        <w:t>不限于单一专科。</w:t>
      </w:r>
    </w:p>
    <w:p>
      <w:r>
        <w:t>盆底、心脏、骨科、产科等方向各有治疗路径，但共用同一套系统架构与运营体系，方法可复用。</w:t>
      </w:r>
    </w:p>
    <w:p>
      <w:r>
        <w:t>【图2：五要素结构图】</w:t>
      </w:r>
    </w:p>
    <w:p>
      <w:r>
        <w:t>七、一句话收尾</w:t>
      </w:r>
    </w:p>
    <w:p>
      <w:r>
        <w:t>一个疗程的价值，不该因为它跨过了医院的大门就蒸发。</w:t>
      </w:r>
    </w:p>
    <w:p>
      <w:r>
        <w:t>让治疗，不止于出院。</w:t>
      </w:r>
    </w:p>
    <w:p>
      <w:r>
        <w:t>（本文所述服务由合作医疗机构提供，诊疗行为由执业医师依规实施。）</w:t>
      </w:r>
    </w:p>
    <w:p>
      <w:r>
        <w:t>【互动引导】</w:t>
      </w:r>
    </w:p>
    <w:p>
      <w:r>
        <w:t>如果你的科室也在处理"患者出院后治疗衔接"的问题，欢迎交流你们遇到的具体卡点。</w:t>
      </w:r>
    </w:p>
    <w:p>
      <w:pPr>
        <w:pStyle w:val="Heading2"/>
      </w:pPr>
      <w:r>
        <w:rPr>
          <w:rFonts w:ascii="微软雅黑" w:hAnsi="微软雅黑" w:eastAsia="微软雅黑"/>
          <w:color w:val="0B6B5C"/>
        </w:rPr>
        <w:t>配图脚本</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fill="0b6b5c" w:val="clear"/>
          </w:tcPr>
          <w:p>
            <w:r/>
            <w:r>
              <w:rPr>
                <w:rFonts w:ascii="微软雅黑" w:hAnsi="微软雅黑" w:eastAsia="微软雅黑"/>
                <w:b/>
                <w:color w:val="FFFFFF"/>
                <w:sz w:val="18"/>
              </w:rPr>
              <w:t>图号</w:t>
            </w:r>
          </w:p>
        </w:tc>
        <w:tc>
          <w:tcPr>
            <w:tcW w:type="dxa" w:w="1234"/>
            <w:shd w:fill="0b6b5c" w:val="clear"/>
          </w:tcPr>
          <w:p>
            <w:r/>
            <w:r>
              <w:rPr>
                <w:rFonts w:ascii="微软雅黑" w:hAnsi="微软雅黑" w:eastAsia="微软雅黑"/>
                <w:b/>
                <w:color w:val="FFFFFF"/>
                <w:sz w:val="18"/>
              </w:rPr>
              <w:t>插入位置</w:t>
            </w:r>
          </w:p>
        </w:tc>
        <w:tc>
          <w:tcPr>
            <w:tcW w:type="dxa" w:w="1234"/>
            <w:shd w:fill="0b6b5c" w:val="clear"/>
          </w:tcPr>
          <w:p>
            <w:r/>
            <w:r>
              <w:rPr>
                <w:rFonts w:ascii="微软雅黑" w:hAnsi="微软雅黑" w:eastAsia="微软雅黑"/>
                <w:b/>
                <w:color w:val="FFFFFF"/>
                <w:sz w:val="18"/>
              </w:rPr>
              <w:t>画面内容</w:t>
            </w:r>
          </w:p>
        </w:tc>
        <w:tc>
          <w:tcPr>
            <w:tcW w:type="dxa" w:w="1234"/>
            <w:shd w:fill="0b6b5c" w:val="clear"/>
          </w:tcPr>
          <w:p>
            <w:r/>
            <w:r>
              <w:rPr>
                <w:rFonts w:ascii="微软雅黑" w:hAnsi="微软雅黑" w:eastAsia="微软雅黑"/>
                <w:b/>
                <w:color w:val="FFFFFF"/>
                <w:sz w:val="18"/>
              </w:rPr>
              <w:t>图上文字</w:t>
            </w:r>
          </w:p>
        </w:tc>
        <w:tc>
          <w:tcPr>
            <w:tcW w:type="dxa" w:w="1234"/>
            <w:shd w:fill="0b6b5c" w:val="clear"/>
          </w:tcPr>
          <w:p>
            <w:r/>
            <w:r>
              <w:rPr>
                <w:rFonts w:ascii="微软雅黑" w:hAnsi="微软雅黑" w:eastAsia="微软雅黑"/>
                <w:b/>
                <w:color w:val="FFFFFF"/>
                <w:sz w:val="18"/>
              </w:rPr>
              <w:t>尺寸比例</w:t>
            </w:r>
          </w:p>
        </w:tc>
        <w:tc>
          <w:tcPr>
            <w:tcW w:type="dxa" w:w="1234"/>
            <w:shd w:fill="0b6b5c" w:val="clear"/>
          </w:tcPr>
          <w:p>
            <w:r/>
            <w:r>
              <w:rPr>
                <w:rFonts w:ascii="微软雅黑" w:hAnsi="微软雅黑" w:eastAsia="微软雅黑"/>
                <w:b/>
                <w:color w:val="FFFFFF"/>
                <w:sz w:val="18"/>
              </w:rPr>
              <w:t>风格备注</w:t>
            </w:r>
          </w:p>
        </w:tc>
        <w:tc>
          <w:tcPr>
            <w:tcW w:type="dxa" w:w="1234"/>
            <w:shd w:fill="0b6b5c" w:val="clear"/>
          </w:tcPr>
          <w:p>
            <w:r/>
            <w:r>
              <w:rPr>
                <w:rFonts w:ascii="微软雅黑" w:hAnsi="微软雅黑" w:eastAsia="微软雅黑"/>
                <w:b/>
                <w:color w:val="FFFFFF"/>
                <w:sz w:val="18"/>
              </w:rPr>
              <w:t>来源建议</w:t>
            </w:r>
          </w:p>
        </w:tc>
      </w:tr>
      <w:tr>
        <w:tc>
          <w:tcPr>
            <w:tcW w:type="dxa" w:w="1234"/>
          </w:tcPr>
          <w:p>
            <w:r/>
            <w:r>
              <w:rPr>
                <w:rFonts w:ascii="微软雅黑" w:hAnsi="微软雅黑" w:eastAsia="微软雅黑"/>
                <w:b/>
                <w:sz w:val="18"/>
              </w:rPr>
              <w:t>1（封面图）</w:t>
            </w:r>
          </w:p>
        </w:tc>
        <w:tc>
          <w:tcPr>
            <w:tcW w:type="dxa" w:w="1234"/>
          </w:tcPr>
          <w:p>
            <w:r/>
            <w:r>
              <w:rPr>
                <w:rFonts w:ascii="微软雅黑" w:hAnsi="微软雅黑" w:eastAsia="微软雅黑"/>
                <w:sz w:val="18"/>
              </w:rPr>
              <w:t>标题下方</w:t>
            </w:r>
          </w:p>
        </w:tc>
        <w:tc>
          <w:tcPr>
            <w:tcW w:type="dxa" w:w="1234"/>
          </w:tcPr>
          <w:p>
            <w:r/>
            <w:r>
              <w:rPr>
                <w:rFonts w:ascii="微软雅黑" w:hAnsi="微软雅黑" w:eastAsia="微软雅黑"/>
                <w:sz w:val="18"/>
              </w:rPr>
              <w:t>一条水平线上三个节点：左端"院内"（实心圆）、中间缺口（虚线段）、右端"居家"（空心圆）。缺口处标红</w:t>
            </w:r>
          </w:p>
        </w:tc>
        <w:tc>
          <w:tcPr>
            <w:tcW w:type="dxa" w:w="1234"/>
          </w:tcPr>
          <w:p>
            <w:r/>
            <w:r>
              <w:rPr>
                <w:rFonts w:ascii="微软雅黑" w:hAnsi="微软雅黑" w:eastAsia="微软雅黑"/>
                <w:sz w:val="18"/>
              </w:rPr>
              <w:t>院内到院外，三样东西同时消失</w:t>
            </w:r>
          </w:p>
        </w:tc>
        <w:tc>
          <w:tcPr>
            <w:tcW w:type="dxa" w:w="1234"/>
          </w:tcPr>
          <w:p>
            <w:r/>
            <w:r>
              <w:rPr>
                <w:rFonts w:ascii="微软雅黑" w:hAnsi="微软雅黑" w:eastAsia="微软雅黑"/>
                <w:sz w:val="18"/>
              </w:rPr>
              <w:t>2.35:1</w:t>
            </w:r>
          </w:p>
        </w:tc>
        <w:tc>
          <w:tcPr>
            <w:tcW w:type="dxa" w:w="1234"/>
          </w:tcPr>
          <w:p>
            <w:r/>
            <w:r>
              <w:rPr>
                <w:rFonts w:ascii="微软雅黑" w:hAnsi="微软雅黑" w:eastAsia="微软雅黑"/>
                <w:sz w:val="18"/>
              </w:rPr>
              <w:t>白底+品牌绿，线条简洁；缺口用辅助金，克制不夸张</w:t>
            </w:r>
          </w:p>
        </w:tc>
        <w:tc>
          <w:tcPr>
            <w:tcW w:type="dxa" w:w="1234"/>
          </w:tcPr>
          <w:p>
            <w:r/>
            <w:r>
              <w:rPr>
                <w:rFonts w:ascii="微软雅黑" w:hAnsi="微软雅黑" w:eastAsia="微软雅黑"/>
                <w:sz w:val="18"/>
              </w:rPr>
              <w:t>自绘</w:t>
            </w:r>
          </w:p>
        </w:tc>
      </w:tr>
      <w:tr>
        <w:tc>
          <w:tcPr>
            <w:tcW w:type="dxa" w:w="1234"/>
            <w:shd w:fill="F5F7FA" w:val="clear"/>
          </w:tcPr>
          <w:p>
            <w:r/>
            <w:r>
              <w:rPr>
                <w:rFonts w:ascii="微软雅黑" w:hAnsi="微软雅黑" w:eastAsia="微软雅黑"/>
                <w:b/>
                <w:sz w:val="18"/>
              </w:rPr>
              <w:t>2</w:t>
            </w:r>
          </w:p>
        </w:tc>
        <w:tc>
          <w:tcPr>
            <w:tcW w:type="dxa" w:w="1234"/>
            <w:shd w:fill="F5F7FA" w:val="clear"/>
          </w:tcPr>
          <w:p>
            <w:r/>
            <w:r>
              <w:rPr>
                <w:rFonts w:ascii="微软雅黑" w:hAnsi="微软雅黑" w:eastAsia="微软雅黑"/>
                <w:sz w:val="18"/>
              </w:rPr>
              <w:t>"一、断在哪：院内外的三个落差"小节后</w:t>
            </w:r>
          </w:p>
        </w:tc>
        <w:tc>
          <w:tcPr>
            <w:tcW w:type="dxa" w:w="1234"/>
            <w:shd w:fill="F5F7FA" w:val="clear"/>
          </w:tcPr>
          <w:p>
            <w:r/>
            <w:r>
              <w:rPr>
                <w:rFonts w:ascii="微软雅黑" w:hAnsi="微软雅黑" w:eastAsia="微软雅黑"/>
                <w:sz w:val="18"/>
              </w:rPr>
              <w:t>纵向三条并列落差带：第一条"管理"，第二条"方案"，第三条"数据"。每条上端为院内（实线），下端为居家（虚线），中间断开</w:t>
            </w:r>
          </w:p>
        </w:tc>
        <w:tc>
          <w:tcPr>
            <w:tcW w:type="dxa" w:w="1234"/>
            <w:shd w:fill="F5F7FA" w:val="clear"/>
          </w:tcPr>
          <w:p>
            <w:r/>
            <w:r>
              <w:rPr>
                <w:rFonts w:ascii="微软雅黑" w:hAnsi="微软雅黑" w:eastAsia="微软雅黑"/>
                <w:sz w:val="18"/>
              </w:rPr>
              <w:t>管理 / 方案 / 数据：三条都断了</w:t>
            </w:r>
          </w:p>
        </w:tc>
        <w:tc>
          <w:tcPr>
            <w:tcW w:type="dxa" w:w="1234"/>
            <w:shd w:fill="F5F7FA" w:val="clear"/>
          </w:tcPr>
          <w:p>
            <w:r/>
            <w:r>
              <w:rPr>
                <w:rFonts w:ascii="微软雅黑" w:hAnsi="微软雅黑" w:eastAsia="微软雅黑"/>
                <w:sz w:val="18"/>
              </w:rPr>
              <w:t>16:9</w:t>
            </w:r>
          </w:p>
        </w:tc>
        <w:tc>
          <w:tcPr>
            <w:tcW w:type="dxa" w:w="1234"/>
            <w:shd w:fill="F5F7FA" w:val="clear"/>
          </w:tcPr>
          <w:p>
            <w:r/>
            <w:r>
              <w:rPr>
                <w:rFonts w:ascii="微软雅黑" w:hAnsi="微软雅黑" w:eastAsia="微软雅黑"/>
                <w:sz w:val="18"/>
              </w:rPr>
              <w:t>三条等宽纵栏，断开处用辅助金短横标记</w:t>
            </w:r>
          </w:p>
        </w:tc>
        <w:tc>
          <w:tcPr>
            <w:tcW w:type="dxa" w:w="1234"/>
            <w:shd w:fill="F5F7FA" w:val="clear"/>
          </w:tcPr>
          <w:p>
            <w:r/>
            <w:r>
              <w:rPr>
                <w:rFonts w:ascii="微软雅黑" w:hAnsi="微软雅黑" w:eastAsia="微软雅黑"/>
                <w:sz w:val="18"/>
              </w:rPr>
              <w:t>自绘</w:t>
            </w:r>
          </w:p>
        </w:tc>
      </w:tr>
      <w:tr>
        <w:tc>
          <w:tcPr>
            <w:tcW w:type="dxa" w:w="1234"/>
          </w:tcPr>
          <w:p>
            <w:r/>
            <w:r>
              <w:rPr>
                <w:rFonts w:ascii="微软雅黑" w:hAnsi="微软雅黑" w:eastAsia="微软雅黑"/>
                <w:b/>
                <w:sz w:val="18"/>
              </w:rPr>
              <w:t>3</w:t>
            </w:r>
          </w:p>
        </w:tc>
        <w:tc>
          <w:tcPr>
            <w:tcW w:type="dxa" w:w="1234"/>
          </w:tcPr>
          <w:p>
            <w:r/>
            <w:r>
              <w:rPr>
                <w:rFonts w:ascii="微软雅黑" w:hAnsi="微软雅黑" w:eastAsia="微软雅黑"/>
                <w:sz w:val="18"/>
              </w:rPr>
              <w:t>"二、代价是什么"小节后</w:t>
            </w:r>
          </w:p>
        </w:tc>
        <w:tc>
          <w:tcPr>
            <w:tcW w:type="dxa" w:w="1234"/>
          </w:tcPr>
          <w:p>
            <w:r/>
            <w:r>
              <w:rPr>
                <w:rFonts w:ascii="微软雅黑" w:hAnsi="微软雅黑" w:eastAsia="微软雅黑"/>
                <w:sz w:val="18"/>
              </w:rPr>
              <w:t>一根横向疗程进度条，共20格；前6格填满品牌绿并标"6"，第7格起留白虚线；在断点处写"疗程中断"</w:t>
            </w:r>
          </w:p>
        </w:tc>
        <w:tc>
          <w:tcPr>
            <w:tcW w:type="dxa" w:w="1234"/>
          </w:tcPr>
          <w:p>
            <w:r/>
            <w:r>
              <w:rPr>
                <w:rFonts w:ascii="微软雅黑" w:hAnsi="微软雅黑" w:eastAsia="微软雅黑"/>
                <w:sz w:val="18"/>
              </w:rPr>
              <w:t>20 次的疗程，断在第 6 次</w:t>
            </w:r>
          </w:p>
        </w:tc>
        <w:tc>
          <w:tcPr>
            <w:tcW w:type="dxa" w:w="1234"/>
          </w:tcPr>
          <w:p>
            <w:r/>
            <w:r>
              <w:rPr>
                <w:rFonts w:ascii="微软雅黑" w:hAnsi="微软雅黑" w:eastAsia="微软雅黑"/>
                <w:sz w:val="18"/>
              </w:rPr>
              <w:t>16:9</w:t>
            </w:r>
          </w:p>
        </w:tc>
        <w:tc>
          <w:tcPr>
            <w:tcW w:type="dxa" w:w="1234"/>
          </w:tcPr>
          <w:p>
            <w:r/>
            <w:r>
              <w:rPr>
                <w:rFonts w:ascii="微软雅黑" w:hAnsi="微软雅黑" w:eastAsia="微软雅黑"/>
                <w:sz w:val="18"/>
              </w:rPr>
              <w:t>进度条式，填满部分实心、剩余部分虚线；断点文字用辅助金</w:t>
            </w:r>
          </w:p>
        </w:tc>
        <w:tc>
          <w:tcPr>
            <w:tcW w:type="dxa" w:w="1234"/>
          </w:tcPr>
          <w:p>
            <w:r/>
            <w:r>
              <w:rPr>
                <w:rFonts w:ascii="微软雅黑" w:hAnsi="微软雅黑" w:eastAsia="微软雅黑"/>
                <w:sz w:val="18"/>
              </w:rPr>
              <w:t>自绘（数据条）</w:t>
            </w:r>
          </w:p>
        </w:tc>
      </w:tr>
      <w:tr>
        <w:tc>
          <w:tcPr>
            <w:tcW w:type="dxa" w:w="1234"/>
            <w:shd w:fill="F5F7FA" w:val="clear"/>
          </w:tcPr>
          <w:p>
            <w:r/>
            <w:r>
              <w:rPr>
                <w:rFonts w:ascii="微软雅黑" w:hAnsi="微软雅黑" w:eastAsia="微软雅黑"/>
                <w:b/>
                <w:sz w:val="18"/>
              </w:rPr>
              <w:t>4</w:t>
            </w:r>
          </w:p>
        </w:tc>
        <w:tc>
          <w:tcPr>
            <w:tcW w:type="dxa" w:w="1234"/>
            <w:shd w:fill="F5F7FA" w:val="clear"/>
          </w:tcPr>
          <w:p>
            <w:r/>
            <w:r>
              <w:rPr>
                <w:rFonts w:ascii="微软雅黑" w:hAnsi="微软雅黑" w:eastAsia="微软雅黑"/>
                <w:sz w:val="18"/>
              </w:rPr>
              <w:t>"第四，有明确的运营角色承接"小节后</w:t>
            </w:r>
          </w:p>
        </w:tc>
        <w:tc>
          <w:tcPr>
            <w:tcW w:type="dxa" w:w="1234"/>
            <w:shd w:fill="F5F7FA" w:val="clear"/>
          </w:tcPr>
          <w:p>
            <w:r/>
            <w:r>
              <w:rPr>
                <w:rFonts w:ascii="微软雅黑" w:hAnsi="微软雅黑" w:eastAsia="微软雅黑"/>
                <w:sz w:val="18"/>
              </w:rPr>
              <w:t>环形角色分工图：中心是"医师"（最大圆），外圈顺时针六个节点：医生、护士、康复师、客服、系统支持、流程督导，各带一句职责小字</w:t>
            </w:r>
          </w:p>
        </w:tc>
        <w:tc>
          <w:tcPr>
            <w:tcW w:type="dxa" w:w="1234"/>
            <w:shd w:fill="F5F7FA" w:val="clear"/>
          </w:tcPr>
          <w:p>
            <w:r/>
            <w:r>
              <w:rPr>
                <w:rFonts w:ascii="微软雅黑" w:hAnsi="微软雅黑" w:eastAsia="微软雅黑"/>
                <w:sz w:val="18"/>
              </w:rPr>
              <w:t>六师共管：让医生用起来不累</w:t>
            </w:r>
          </w:p>
        </w:tc>
        <w:tc>
          <w:tcPr>
            <w:tcW w:type="dxa" w:w="1234"/>
            <w:shd w:fill="F5F7FA" w:val="clear"/>
          </w:tcPr>
          <w:p>
            <w:r/>
            <w:r>
              <w:rPr>
                <w:rFonts w:ascii="微软雅黑" w:hAnsi="微软雅黑" w:eastAsia="微软雅黑"/>
                <w:sz w:val="18"/>
              </w:rPr>
              <w:t>16:9</w:t>
            </w:r>
          </w:p>
        </w:tc>
        <w:tc>
          <w:tcPr>
            <w:tcW w:type="dxa" w:w="1234"/>
            <w:shd w:fill="F5F7FA" w:val="clear"/>
          </w:tcPr>
          <w:p>
            <w:r/>
            <w:r>
              <w:rPr>
                <w:rFonts w:ascii="微软雅黑" w:hAnsi="微软雅黑" w:eastAsia="微软雅黑"/>
                <w:sz w:val="18"/>
              </w:rPr>
              <w:t>中心圆品牌绿实底，外圈六个圆浅绿描边；职责小字白色</w:t>
            </w:r>
          </w:p>
        </w:tc>
        <w:tc>
          <w:tcPr>
            <w:tcW w:type="dxa" w:w="1234"/>
            <w:shd w:fill="F5F7FA" w:val="clear"/>
          </w:tcPr>
          <w:p>
            <w:r/>
            <w:r>
              <w:rPr>
                <w:rFonts w:ascii="微软雅黑" w:hAnsi="微软雅黑" w:eastAsia="微软雅黑"/>
                <w:sz w:val="18"/>
              </w:rPr>
              <w:t>自绘（环形图）</w:t>
            </w:r>
          </w:p>
        </w:tc>
      </w:tr>
      <w:tr>
        <w:tc>
          <w:tcPr>
            <w:tcW w:type="dxa" w:w="1234"/>
          </w:tcPr>
          <w:p>
            <w:r/>
            <w:r>
              <w:rPr>
                <w:rFonts w:ascii="微软雅黑" w:hAnsi="微软雅黑" w:eastAsia="微软雅黑"/>
                <w:b/>
                <w:sz w:val="18"/>
              </w:rPr>
              <w:t>5</w:t>
            </w:r>
          </w:p>
        </w:tc>
        <w:tc>
          <w:tcPr>
            <w:tcW w:type="dxa" w:w="1234"/>
          </w:tcPr>
          <w:p>
            <w:r/>
            <w:r>
              <w:rPr>
                <w:rFonts w:ascii="微软雅黑" w:hAnsi="微软雅黑" w:eastAsia="微软雅黑"/>
                <w:sz w:val="18"/>
              </w:rPr>
              <w:t>"关于费用"段落后</w:t>
            </w:r>
          </w:p>
        </w:tc>
        <w:tc>
          <w:tcPr>
            <w:tcW w:type="dxa" w:w="1234"/>
          </w:tcPr>
          <w:p>
            <w:r/>
            <w:r>
              <w:rPr>
                <w:rFonts w:ascii="微软雅黑" w:hAnsi="微软雅黑" w:eastAsia="微软雅黑"/>
                <w:sz w:val="18"/>
              </w:rPr>
              <w:t>钱流示意：箭头从"患者"指向"医院账户"，箭头粗实线；旁侧画"第三方"方框，与钱流之间用虚线隔开并标注</w:t>
            </w:r>
          </w:p>
        </w:tc>
        <w:tc>
          <w:tcPr>
            <w:tcW w:type="dxa" w:w="1234"/>
          </w:tcPr>
          <w:p>
            <w:r/>
            <w:r>
              <w:rPr>
                <w:rFonts w:ascii="微软雅黑" w:hAnsi="微软雅黑" w:eastAsia="微软雅黑"/>
                <w:sz w:val="18"/>
              </w:rPr>
              <w:t>收款方是医院，第三方不经手款项</w:t>
            </w:r>
          </w:p>
        </w:tc>
        <w:tc>
          <w:tcPr>
            <w:tcW w:type="dxa" w:w="1234"/>
          </w:tcPr>
          <w:p>
            <w:r/>
            <w:r>
              <w:rPr>
                <w:rFonts w:ascii="微软雅黑" w:hAnsi="微软雅黑" w:eastAsia="微软雅黑"/>
                <w:sz w:val="18"/>
              </w:rPr>
              <w:t>16:9</w:t>
            </w:r>
          </w:p>
        </w:tc>
        <w:tc>
          <w:tcPr>
            <w:tcW w:type="dxa" w:w="1234"/>
          </w:tcPr>
          <w:p>
            <w:r/>
            <w:r>
              <w:rPr>
                <w:rFonts w:ascii="微软雅黑" w:hAnsi="微软雅黑" w:eastAsia="微软雅黑"/>
                <w:sz w:val="18"/>
              </w:rPr>
              <w:t>钱流用品牌绿粗箭头；虚线旁路用灰色，标注字用辅助金</w:t>
            </w:r>
          </w:p>
        </w:tc>
        <w:tc>
          <w:tcPr>
            <w:tcW w:type="dxa" w:w="1234"/>
          </w:tcPr>
          <w:p>
            <w:r/>
            <w:r>
              <w:rPr>
                <w:rFonts w:ascii="微软雅黑" w:hAnsi="微软雅黑" w:eastAsia="微软雅黑"/>
                <w:sz w:val="18"/>
              </w:rPr>
              <w:t>自绘</w:t>
            </w:r>
          </w:p>
        </w:tc>
      </w:tr>
    </w:tbl>
    <w:p/>
    <w:p>
      <w:pPr>
        <w:pStyle w:val="Heading2"/>
      </w:pPr>
      <w:r>
        <w:rPr>
          <w:rFonts w:ascii="微软雅黑" w:hAnsi="微软雅黑" w:eastAsia="微软雅黑"/>
          <w:color w:val="0B6B5C"/>
        </w:rPr>
        <w:t>配色与风格规范</w:t>
      </w:r>
    </w:p>
    <w:p>
      <w:pPr>
        <w:pStyle w:val="ListBullet"/>
        <w:spacing w:after="80" w:line="324" w:lineRule="auto"/>
      </w:pPr>
      <w:r>
        <w:rPr>
          <w:rFonts w:ascii="微软雅黑" w:hAnsi="微软雅黑" w:eastAsia="微软雅黑"/>
          <w:sz w:val="20"/>
        </w:rPr>
        <w:t>- 品牌绿 #0b6b5c（主色，用于标题字、图形主体）</w:t>
      </w:r>
    </w:p>
    <w:p>
      <w:pPr>
        <w:pStyle w:val="ListBullet"/>
        <w:spacing w:after="80" w:line="324" w:lineRule="auto"/>
      </w:pPr>
      <w:r>
        <w:rPr>
          <w:rFonts w:ascii="微软雅黑" w:hAnsi="微软雅黑" w:eastAsia="微软雅黑"/>
          <w:sz w:val="20"/>
        </w:rPr>
        <w:t>- 辅助金 #c9a227（点缀，用于强调线、数字、箭头）</w:t>
      </w:r>
    </w:p>
    <w:p>
      <w:pPr>
        <w:pStyle w:val="ListBullet"/>
        <w:spacing w:after="80" w:line="324" w:lineRule="auto"/>
      </w:pPr>
      <w:r>
        <w:rPr>
          <w:rFonts w:ascii="微软雅黑" w:hAnsi="微软雅黑" w:eastAsia="微软雅黑"/>
          <w:sz w:val="20"/>
        </w:rPr>
        <w:t>- 白底为主，浅灰 #f5f7fa 作分区底</w:t>
      </w:r>
    </w:p>
    <w:p>
      <w:pPr>
        <w:pStyle w:val="ListBullet"/>
        <w:spacing w:after="80" w:line="324" w:lineRule="auto"/>
      </w:pPr>
      <w:r>
        <w:rPr>
          <w:rFonts w:ascii="微软雅黑" w:hAnsi="微软雅黑" w:eastAsia="微软雅黑"/>
          <w:sz w:val="20"/>
        </w:rPr>
        <w:t>- 字体：微软雅黑（标题加粗）；不用手写体、不用艺术字</w:t>
      </w:r>
    </w:p>
    <w:p>
      <w:pPr>
        <w:pStyle w:val="ListBullet"/>
        <w:spacing w:after="80" w:line="324" w:lineRule="auto"/>
      </w:pPr>
      <w:r>
        <w:rPr>
          <w:rFonts w:ascii="微软雅黑" w:hAnsi="微软雅黑" w:eastAsia="微软雅黑"/>
          <w:sz w:val="20"/>
        </w:rPr>
        <w:t>- 图形优先：图标、箭头、流程框、对照栏。不用网上下载的医生、护士、老人摆拍照片</w:t>
      </w:r>
    </w:p>
    <w:p>
      <w:pPr>
        <w:pStyle w:val="ListBullet"/>
        <w:spacing w:after="80" w:line="324" w:lineRule="auto"/>
      </w:pPr>
      <w:r>
        <w:rPr>
          <w:rFonts w:ascii="微软雅黑" w:hAnsi="微软雅黑" w:eastAsia="微软雅黑"/>
          <w:sz w:val="20"/>
        </w:rPr>
        <w:t>- 封面图统一在右下角放品牌 logo 小尺寸（约画面宽度 8%，不抢眼）</w:t>
      </w:r>
    </w:p>
    <w:p>
      <w:pPr>
        <w:pStyle w:val="Heading2"/>
      </w:pPr>
      <w:r>
        <w:rPr>
          <w:rFonts w:ascii="微软雅黑" w:hAnsi="微软雅黑" w:eastAsia="微软雅黑"/>
          <w:color w:val="0B6B5C"/>
        </w:rPr>
        <w:t>排版建议</w:t>
      </w:r>
    </w:p>
    <w:p>
      <w:pPr>
        <w:pStyle w:val="ListBullet"/>
        <w:spacing w:after="80" w:line="324" w:lineRule="auto"/>
      </w:pPr>
      <w:r>
        <w:rPr>
          <w:rFonts w:ascii="微软雅黑" w:hAnsi="微软雅黑" w:eastAsia="微软雅黑"/>
          <w:sz w:val="20"/>
        </w:rPr>
        <w:t>- 每段不超过 4 行，手机上一屏能读完一段</w:t>
      </w:r>
    </w:p>
    <w:p>
      <w:pPr>
        <w:pStyle w:val="ListBullet"/>
        <w:spacing w:after="80" w:line="324" w:lineRule="auto"/>
      </w:pPr>
      <w:r>
        <w:rPr>
          <w:rFonts w:ascii="微软雅黑" w:hAnsi="微软雅黑" w:eastAsia="微软雅黑"/>
          <w:sz w:val="20"/>
        </w:rPr>
        <w:t>- 小标题用品牌绿加粗，和正文拉开层次</w:t>
      </w:r>
    </w:p>
    <w:p>
      <w:pPr>
        <w:pStyle w:val="ListBullet"/>
        <w:spacing w:after="80" w:line="324" w:lineRule="auto"/>
      </w:pPr>
      <w:r>
        <w:rPr>
          <w:rFonts w:ascii="微软雅黑" w:hAnsi="微软雅黑" w:eastAsia="微软雅黑"/>
          <w:sz w:val="20"/>
        </w:rPr>
        <w:t>- 封面图决定打开率，标题字要占画面三分之二</w:t>
      </w:r>
    </w:p>
    <w:p>
      <w:pPr>
        <w:pStyle w:val="ListBullet"/>
        <w:spacing w:after="80" w:line="324" w:lineRule="auto"/>
      </w:pPr>
      <w:r>
        <w:rPr>
          <w:rFonts w:ascii="微软雅黑" w:hAnsi="微软雅黑" w:eastAsia="微软雅黑"/>
          <w:sz w:val="20"/>
        </w:rPr>
        <w:t>- 每张图之间至少隔 1 个自然段，不要连着放</w:t>
      </w:r>
    </w:p>
    <w:p>
      <w:pPr>
        <w:pStyle w:val="Heading2"/>
      </w:pPr>
      <w:r>
        <w:rPr>
          <w:rFonts w:ascii="微软雅黑" w:hAnsi="微软雅黑" w:eastAsia="微软雅黑"/>
          <w:color w:val="0B6B5C"/>
        </w:rPr>
        <w:t>发布检查清单</w:t>
      </w:r>
    </w:p>
    <w:p>
      <w:pPr>
        <w:pStyle w:val="ListBullet"/>
        <w:spacing w:after="80" w:line="324" w:lineRule="auto"/>
      </w:pPr>
      <w:r>
        <w:rPr>
          <w:rFonts w:ascii="微软雅黑" w:hAnsi="微软雅黑" w:eastAsia="微软雅黑"/>
          <w:sz w:val="20"/>
        </w:rPr>
        <w:t>- [ ] 配图已按本表全部做好，图上文字与表内一字不差</w:t>
      </w:r>
    </w:p>
    <w:p>
      <w:pPr>
        <w:pStyle w:val="ListBullet"/>
        <w:spacing w:after="80" w:line="324" w:lineRule="auto"/>
      </w:pPr>
      <w:r>
        <w:rPr>
          <w:rFonts w:ascii="微软雅黑" w:hAnsi="微软雅黑" w:eastAsia="微软雅黑"/>
          <w:sz w:val="20"/>
        </w:rPr>
        <w:t>- [ ] 封面图尺寸比例已按本表设置</w:t>
      </w:r>
    </w:p>
    <w:p>
      <w:pPr>
        <w:pStyle w:val="ListBullet"/>
        <w:spacing w:after="80" w:line="324" w:lineRule="auto"/>
      </w:pPr>
      <w:r>
        <w:rPr>
          <w:rFonts w:ascii="微软雅黑" w:hAnsi="微软雅黑" w:eastAsia="微软雅黑"/>
          <w:sz w:val="20"/>
        </w:rPr>
        <w:t>- [ ] 未使用网上下载的医生护士摆拍照片</w:t>
      </w:r>
    </w:p>
    <w:p>
      <w:pPr>
        <w:pStyle w:val="ListBullet"/>
        <w:spacing w:after="80" w:line="324" w:lineRule="auto"/>
      </w:pPr>
      <w:r>
        <w:rPr>
          <w:rFonts w:ascii="微软雅黑" w:hAnsi="微软雅黑" w:eastAsia="微软雅黑"/>
          <w:sz w:val="20"/>
        </w:rPr>
        <w:t>- [ ] 未出现医院全名、医生姓名、患者真实照片</w:t>
      </w:r>
    </w:p>
    <w:p>
      <w:pPr>
        <w:pStyle w:val="ListBullet"/>
        <w:spacing w:after="80" w:line="324" w:lineRule="auto"/>
      </w:pPr>
      <w:r>
        <w:rPr>
          <w:rFonts w:ascii="微软雅黑" w:hAnsi="微软雅黑" w:eastAsia="微软雅黑"/>
          <w:sz w:val="20"/>
        </w:rPr>
        <w:t>- [ ] 未出现"上门康复服务""包治""根治""治愈率"等表述</w:t>
      </w:r>
    </w:p>
    <w:p>
      <w:pPr>
        <w:pStyle w:val="ListBullet"/>
        <w:spacing w:after="80" w:line="324" w:lineRule="auto"/>
      </w:pPr>
      <w:r>
        <w:rPr>
          <w:rFonts w:ascii="微软雅黑" w:hAnsi="微软雅黑" w:eastAsia="微软雅黑"/>
          <w:sz w:val="20"/>
        </w:rPr>
        <w:t>- [ ] 品牌 logo 未放大到抢眼位置</w:t>
      </w:r>
    </w:p>
    <w:p>
      <w:pPr>
        <w:pStyle w:val="ListBullet"/>
        <w:spacing w:after="80" w:line="324" w:lineRule="auto"/>
      </w:pPr>
      <w:r>
        <w:rPr>
          <w:rFonts w:ascii="微软雅黑" w:hAnsi="微软雅黑" w:eastAsia="微软雅黑"/>
          <w:sz w:val="20"/>
        </w:rPr>
        <w:t>- [ ] 全文未出现具体承诺性效果表述</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