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知乎 · 官方号版 · 第2篇</w:t>
      </w:r>
    </w:p>
    <w:p>
      <w:r>
        <w:t>【发布前必读 · 顶部承接句（必须加，发的时候放正文最前面）】</w:t>
      </w:r>
    </w:p>
    <w:p>
      <w:r>
        <w:t>应不少朋友询问，我们把"智慧家康"这件事系统地讲一次。这套东西不是我们临时想出来的概念，而是这些年在医院和患者家里跑出来的答案。以下是完整说明，供关心这件事的朋友参考。</w:t>
      </w:r>
    </w:p>
    <w:p>
      <w:r>
        <w:rPr>
          <w:color w:val="BBBBBB"/>
        </w:rPr>
        <w:t>——————————————————————————————</w:t>
      </w:r>
    </w:p>
    <w:p>
      <w:r>
        <w:t>先说结论</w:t>
      </w:r>
    </w:p>
    <w:p>
      <w:r>
        <w:t>"智慧家康"是一套居家康复服务管理模式——由圆爱康提出，用来把医院各专科的专业治疗能力，延伸到患者家中。</w:t>
      </w:r>
    </w:p>
    <w:p>
      <w:r>
        <w:t>一句话概括：让治疗不止于出院。</w:t>
      </w:r>
    </w:p>
    <w:p>
      <w:r>
        <w:t>它不是一台设备，不是一个 APP，也不是某家医院自己搞的内部项目。它由五个要素构成的一整套体系：医疗级家用设备、治疗数据物联网、院内—居家治疗闭环、六师共管、医院主导·第三方赋能。</w:t>
      </w:r>
    </w:p>
    <w:p>
      <w:r>
        <w:t>下面逐条拆。如果你关心的是"这套东西到底能不能落地、钱从哪来、医院为什么愿意配合"，可以直接跳到第四、第五部分。</w:t>
      </w:r>
    </w:p>
    <w:p>
      <w:r>
        <w:t>一、为什么需要这套东西：治疗的"最后一公里"没人接</w:t>
      </w:r>
    </w:p>
    <w:p>
      <w:r>
        <w:t>先看一个很普遍的现象。</w:t>
      </w:r>
    </w:p>
    <w:p>
      <w:r>
        <w:t>盆底康复、心脏康复、骨科术后康复、产后康复——这些治疗的共同特点是：周期长、要持续、停了就白做。一个疗程动辄几周甚至几个月。</w:t>
      </w:r>
    </w:p>
    <w:p>
      <w:r>
        <w:t>但患者不可能一直住院。床位要周转，费用要控制，指标稳定了就要出院。</w:t>
      </w:r>
    </w:p>
    <w:p>
      <w:r>
        <w:t>于是就有了那个断层：在医院里，有人管、有方案、有设备；回到家，一切归零。</w:t>
      </w:r>
    </w:p>
    <w:p>
      <w:r>
        <w:t>三个后果。</w:t>
      </w:r>
    </w:p>
    <w:p>
      <w:r>
        <w:t>患者端：不知道该做什么、做多久、做得对不对。凭感觉练，练错了也不知道；或者干脆停了，复查时发现进展全丢了。</w:t>
      </w:r>
    </w:p>
    <w:p>
      <w:r>
        <w:t>医生端：出院后的执行情况、依从性、疗效，看不见、问不到、评估不了。医生知道患者在院外大概率没做，但没有任何抓手。</w:t>
      </w:r>
    </w:p>
    <w:p>
      <w:r>
        <w:t>医院端：一个疗程本该做 20 次，患者做了 6 次就出院了，剩下 14 次的治疗价值直接损失。</w:t>
      </w:r>
    </w:p>
    <w:p>
      <w:r>
        <w:t>这不是患者不配合，也不是医生不负责。是这个环节，本来就没有被设计过。</w:t>
      </w:r>
    </w:p>
    <w:p>
      <w:r>
        <w:t>二、一个具体的画面：储物间里的七八台设备</w:t>
      </w:r>
    </w:p>
    <w:p>
      <w:r>
        <w:t>抽象讲不如看一个场景。</w:t>
      </w:r>
    </w:p>
    <w:p>
      <w:r>
        <w:t>有医生提到过他们科的情况：康复室走廊尽头的储物间里，靠墙堆着七八台设备——都是患者买回家用了没几次、后来送回来的。护工说，这已经不是第一批了。</w:t>
      </w:r>
    </w:p>
    <w:p>
      <w:r>
        <w:t>为什么？</w:t>
      </w:r>
    </w:p>
    <w:p>
      <w:r>
        <w:t>设备本身没问题，医疗级的，参数也对。问题在于它出了医院之后：</w:t>
      </w:r>
    </w:p>
    <w:p>
      <w:pPr>
        <w:pStyle w:val="ListBullet"/>
      </w:pPr>
      <w:r>
        <w:t>· 方案断了——没有医生持续调整的疗程安排</w:t>
      </w:r>
    </w:p>
    <w:p>
      <w:pPr>
        <w:pStyle w:val="ListBullet"/>
      </w:pPr>
      <w:r>
        <w:t>· 记录断了——患者在家做了什么、做了多久，没人知道</w:t>
      </w:r>
    </w:p>
    <w:p>
      <w:pPr>
        <w:pStyle w:val="ListBullet"/>
      </w:pPr>
      <w:r>
        <w:t>· 陪伴断了——做得对不对、要不要加量，没人告诉他</w:t>
      </w:r>
    </w:p>
    <w:p>
      <w:r>
        <w:t>于是它就从"治疗工具"，退回成了一台"机器"。患者做着做着没底，慢慢就不做了。</w:t>
      </w:r>
    </w:p>
    <w:p>
      <w:r>
        <w:t>三、为什么市面上的"居家康复"这么多，问题还在</w:t>
      </w:r>
    </w:p>
    <w:p>
      <w:r>
        <w:t>这几年家用健康设备铺天盖地：血压计、血糖仪、手环、体脂秤……家里总能找出几样。手机上的康复 APP、健身课程、跟练视频也多得是。</w:t>
      </w:r>
    </w:p>
    <w:p>
      <w:r>
        <w:t>但把这些和"居家治疗"画等号，是一个很常见的误解。核心区别在于：</w:t>
      </w:r>
    </w:p>
    <w:p>
      <w:r>
        <w:t>【监测类】</w:t>
      </w:r>
    </w:p>
    <w:p>
      <w:pPr>
        <w:pStyle w:val="ListBullet"/>
      </w:pPr>
      <w:r>
        <w:t>· 做什么：采集数据、呈现指标</w:t>
      </w:r>
    </w:p>
    <w:p>
      <w:pPr>
        <w:pStyle w:val="ListBullet"/>
      </w:pPr>
      <w:r>
        <w:t>· 典型产品：血压计、血糖仪、手环、体脂秤</w:t>
      </w:r>
    </w:p>
    <w:p>
      <w:pPr>
        <w:pStyle w:val="ListBullet"/>
      </w:pPr>
      <w:r>
        <w:t>· 有没有疗程：没有，长期监测</w:t>
      </w:r>
    </w:p>
    <w:p>
      <w:pPr>
        <w:pStyle w:val="ListBullet"/>
      </w:pPr>
      <w:r>
        <w:t>· 有没有参数：通常没有个体化治疗参数</w:t>
      </w:r>
    </w:p>
    <w:p>
      <w:pPr>
        <w:pStyle w:val="ListBullet"/>
      </w:pPr>
      <w:r>
        <w:t>· 有没有疗效评估：一般不做</w:t>
      </w:r>
    </w:p>
    <w:p>
      <w:pPr>
        <w:pStyle w:val="ListBullet"/>
      </w:pPr>
      <w:r>
        <w:t>· 是不是医疗行为：否，属于健康管理</w:t>
      </w:r>
    </w:p>
    <w:p>
      <w:r>
        <w:t>【治疗类】</w:t>
      </w:r>
    </w:p>
    <w:p>
      <w:pPr>
        <w:pStyle w:val="ListBullet"/>
      </w:pPr>
      <w:r>
        <w:t>· 做什么：施加治疗、改变功能状态</w:t>
      </w:r>
    </w:p>
    <w:p>
      <w:pPr>
        <w:pStyle w:val="ListBullet"/>
      </w:pPr>
      <w:r>
        <w:t>· 典型产品：生物反馈电刺激、心脏超声治疗、缺血预适应训练等</w:t>
      </w:r>
    </w:p>
    <w:p>
      <w:pPr>
        <w:pStyle w:val="ListBullet"/>
      </w:pPr>
      <w:r>
        <w:t>· 有没有疗程：有，按疗程走</w:t>
      </w:r>
    </w:p>
    <w:p>
      <w:pPr>
        <w:pStyle w:val="ListBullet"/>
      </w:pPr>
      <w:r>
        <w:t>· 有没有参数：有明确治疗参数和作用部位</w:t>
      </w:r>
    </w:p>
    <w:p>
      <w:pPr>
        <w:pStyle w:val="ListBullet"/>
      </w:pPr>
      <w:r>
        <w:t>· 有没有疗效评估：必须有，按治疗周期评估</w:t>
      </w:r>
    </w:p>
    <w:p>
      <w:pPr>
        <w:pStyle w:val="ListBullet"/>
      </w:pPr>
      <w:r>
        <w:t>· 是不是医疗行为：是，属于医疗行为的组成部分</w:t>
      </w:r>
    </w:p>
    <w:p>
      <w:r>
        <w:t>这就是分水岭。</w:t>
      </w:r>
    </w:p>
    <w:p>
      <w:r>
        <w:t>另一类容易被混淆的是"上门服务"。派人上门当然是一种解法，但它必须由医疗持证人员执行，是重资产模式，成本结构与质量管控是另一套逻辑。"智慧家康"走的不是这条路。</w:t>
      </w:r>
    </w:p>
    <w:p>
      <w:r>
        <w:t>四、这套模式由五个要素构成</w:t>
      </w:r>
    </w:p>
    <w:p>
      <w:r>
        <w:t>少任何一个，它都会退回成"卖设备"或者"做个 APP"。</w:t>
      </w:r>
    </w:p>
    <w:p>
      <w:r>
        <w:t>要素① 医疗级家用设备</w:t>
      </w:r>
    </w:p>
    <w:p>
      <w:r>
        <w:t>不是消费级健康硬件，是有明确治疗参数和适用范围的医疗级设备。形态上是医院在用同类型治疗设备的家用化版本。</w:t>
      </w:r>
    </w:p>
    <w:p>
      <w:r>
        <w:t>要素② 治疗数据物联网</w:t>
      </w:r>
    </w:p>
    <w:p>
      <w:r>
        <w:t>设备自带数据采集能力，治疗过程数据自动上传，不依赖患者手填。</w:t>
      </w:r>
    </w:p>
    <w:p>
      <w:r>
        <w:t>为什么强调"自动"？因为手填会失真：有患者怕被医生说往好了填，也有患者认真填但记错时间。数据一旦不可信，医生就没法据此判断。只有设备自产、实时回传的数据，才构成可用的疗效依据。</w:t>
      </w:r>
    </w:p>
    <w:p>
      <w:r>
        <w:t>要素③ 院内—居家治疗闭环</w:t>
      </w:r>
    </w:p>
    <w:p>
      <w:r>
        <w:t>这是整套模式的骨架。从院内评估、开方，到居家治疗、数据回传，到医生远程查看、按需调整方案，再到疗程结束的疗效评估——形成一个不断裂的循环。</w:t>
      </w:r>
    </w:p>
    <w:p>
      <w:r>
        <w:t>患者在医院治疗产生的数据，归属医院。</w:t>
      </w:r>
    </w:p>
    <w:p>
      <w:r>
        <w:t>要素④ 六师共管</w:t>
      </w:r>
    </w:p>
    <w:p>
      <w:r>
        <w:t>光有数据不够，得有人管。角色分六类：医生、护士、康复师，加上客服、系统支持、流程督导。</w:t>
      </w:r>
    </w:p>
    <w:p>
      <w:pPr>
        <w:pStyle w:val="ListBullet"/>
      </w:pPr>
      <w:r>
        <w:t>· 医生：开方、调方案、做疗效判断</w:t>
      </w:r>
    </w:p>
    <w:p>
      <w:pPr>
        <w:pStyle w:val="ListBullet"/>
      </w:pPr>
      <w:r>
        <w:t>· 护士、康复师：专业指导与随访</w:t>
      </w:r>
    </w:p>
    <w:p>
      <w:pPr>
        <w:pStyle w:val="ListBullet"/>
      </w:pPr>
      <w:r>
        <w:t>· 客服：日常联络、答疑、提醒</w:t>
      </w:r>
    </w:p>
    <w:p>
      <w:pPr>
        <w:pStyle w:val="ListBullet"/>
      </w:pPr>
      <w:r>
        <w:t>· 系统支持：设备与系统的运行保障</w:t>
      </w:r>
    </w:p>
    <w:p>
      <w:pPr>
        <w:pStyle w:val="ListBullet"/>
      </w:pPr>
      <w:r>
        <w:t>· 流程督导：确保每个环节按标准执行</w:t>
      </w:r>
    </w:p>
    <w:p>
      <w:r>
        <w:t>设计的第一原则是：让医生用起来不累。医生想看哪个患者，点开就行；不该被打扰的时候不打扰。</w:t>
      </w:r>
    </w:p>
    <w:p>
      <w:r>
        <w:t>要素⑤ 医院主导·第三方赋能</w:t>
      </w:r>
    </w:p>
    <w:p>
      <w:r>
        <w:t>这一点必须说清楚，因为它涉及合规底线。</w:t>
      </w:r>
    </w:p>
    <w:p>
      <w:r>
        <w:t>医疗主体在医院。诊疗服务由合作医疗机构的执业医师提供，开单权、处方权、诊疗决策权都在医院和执业医师手里。</w:t>
      </w:r>
    </w:p>
    <w:p>
      <w:r>
        <w:t>圆爱康作为第三方，提供的是设备、系统与运营支持——不介入医疗判断。</w:t>
      </w:r>
    </w:p>
    <w:p>
      <w:r>
        <w:t>五、医院为什么愿意配合</w:t>
      </w:r>
    </w:p>
    <w:p>
      <w:r>
        <w:t>这是所有合作方最关心的问题。答案在于：这套模式补的是一条本来就该由医院提供、却一直断着的链子。</w:t>
      </w:r>
    </w:p>
    <w:p>
      <w:r>
        <w:t>对医院的价值：</w:t>
      </w:r>
    </w:p>
    <w:p>
      <w:pPr>
        <w:pStyle w:val="ListBullet"/>
      </w:pPr>
      <w:r>
        <w:t>· 疗程能做满。本该做 20 次的疗程，过去患者做 6 次出院就断了，剩下 14 次的价值蒸发；现在能延续。</w:t>
      </w:r>
    </w:p>
    <w:p>
      <w:pPr>
        <w:pStyle w:val="ListBullet"/>
      </w:pPr>
      <w:r>
        <w:t>· 不新增床位、不新增人力。本科室治疗能力延伸到患者家中。</w:t>
      </w:r>
    </w:p>
    <w:p>
      <w:pPr>
        <w:pStyle w:val="ListBullet"/>
      </w:pPr>
      <w:r>
        <w:t>· 出院不等于失联。患者还在医院的服务体系内。</w:t>
      </w:r>
    </w:p>
    <w:p>
      <w:pPr>
        <w:pStyle w:val="ListBullet"/>
      </w:pPr>
      <w:r>
        <w:t>· 管理有据。科室治疗量、依从性、复诊率，有数据可依。</w:t>
      </w:r>
    </w:p>
    <w:p>
      <w:r>
        <w:t>对患者的价值：</w:t>
      </w:r>
    </w:p>
    <w:p>
      <w:pPr>
        <w:pStyle w:val="ListBullet"/>
      </w:pPr>
      <w:r>
        <w:t>· 不用为了一次治疗反复跑医院，治疗照常进行</w:t>
      </w:r>
    </w:p>
    <w:p>
      <w:pPr>
        <w:pStyle w:val="ListBullet"/>
      </w:pPr>
      <w:r>
        <w:t>· 有人管、有记录、有反馈，知道自己做得对不对</w:t>
      </w:r>
    </w:p>
    <w:p>
      <w:pPr>
        <w:pStyle w:val="ListBullet"/>
      </w:pPr>
      <w:r>
        <w:t>· 整个过程在医院的诊疗体系内，不是自己瞎练</w:t>
      </w:r>
    </w:p>
    <w:p>
      <w:r>
        <w:t>对医院主体地位的强化：</w:t>
      </w:r>
    </w:p>
    <w:p>
      <w:r>
        <w:t>有人担心"第三方进来会不会动医院的权"。事实相反——第三方不碰诊疗决策，医院的治疗能力反而延伸到了院外，服务半径扩大了。这是加法，不是分权。</w:t>
      </w:r>
    </w:p>
    <w:p>
      <w:r>
        <w:t>六、患者怎么用、钱怎么走</w:t>
      </w:r>
    </w:p>
    <w:p>
      <w:r>
        <w:t>患者侧的动线：</w:t>
      </w:r>
    </w:p>
    <w:p>
      <w:r>
        <w:t>在院内就诊评估 → 医生判断适合居家治疗 → 医生开方案 → 患者取得医疗级家用设备（可租可购）→ 居家治疗、数据自动回传 → 医生远程查看数据、按需调整方案 → 疗程结束做疗效评估。</w:t>
      </w:r>
    </w:p>
    <w:p>
      <w:r>
        <w:t>全程不用反复跑医院，但整个过程仍在医院的管理之下。</w:t>
      </w:r>
    </w:p>
    <w:p>
      <w:r>
        <w:t>关于费用：</w:t>
      </w:r>
    </w:p>
    <w:p>
      <w:pPr>
        <w:pStyle w:val="ListBullet"/>
      </w:pPr>
      <w:r>
        <w:t>· 作为院内诊疗服务延伸的项目，由医院自主定价、医院收费</w:t>
      </w:r>
    </w:p>
    <w:p>
      <w:pPr>
        <w:pStyle w:val="ListBullet"/>
      </w:pPr>
      <w:r>
        <w:t>· 部分项目患者按疗程自费</w:t>
      </w:r>
    </w:p>
    <w:p>
      <w:pPr>
        <w:pStyle w:val="ListBullet"/>
      </w:pPr>
      <w:r>
        <w:t>· 符合当地政策的项目，按当地政策执行</w:t>
      </w:r>
    </w:p>
    <w:p>
      <w:r>
        <w:t>有一点不能含糊：收款方是医院。患者交的费用进入医院账户，第三方不经手患者款项。这个细节决定了患者信不信这件事——他是在向医院购买医疗服务。</w:t>
      </w:r>
    </w:p>
    <w:p>
      <w:r>
        <w:t>七、几个常见误解，一次说清</w:t>
      </w:r>
    </w:p>
    <w:p>
      <w:r>
        <w:t>误解一：这就是卖设备。</w:t>
      </w:r>
    </w:p>
    <w:p>
      <w:r>
        <w:t>不是。设备只是五个要素之一，而且不是最关键的。关键在"数据回传 + 有人管"这个闭环。只有设备没有闭环，就会变成储物间里的那七八台。</w:t>
      </w:r>
    </w:p>
    <w:p>
      <w:r>
        <w:t>误解二：这就是健康管理。</w:t>
      </w:r>
    </w:p>
    <w:p>
      <w:r>
        <w:t>不是。健康管理的目标是"状态好一点"，治疗是有疗程、有参数、有疗效评估的医疗行为。这两个词在监管上是两回事，不能混。</w:t>
      </w:r>
    </w:p>
    <w:p>
      <w:r>
        <w:t>误解三：这是要抢医院的病人。</w:t>
      </w:r>
    </w:p>
    <w:p>
      <w:r>
        <w:t>恰恰相反。服务全程在医院主体下进行，患者始终是医院的患者。第三方是赋能方，不是替代方。</w:t>
      </w:r>
    </w:p>
    <w:p>
      <w:r>
        <w:t>误解四：只有大型医院才做得起来。</w:t>
      </w:r>
    </w:p>
    <w:p>
      <w:r>
        <w:t>不是。这套模式与医院等级、床位规模无关。各级医院只要有意愿把本科室的治疗能力延伸到患者家中，都可以开展合作。</w:t>
      </w:r>
    </w:p>
    <w:p>
      <w:r>
        <w:t>八、一句话总结</w:t>
      </w:r>
    </w:p>
    <w:p>
      <w:r>
        <w:t>智慧家康，即智慧居家康复，是把医院各专科的专业治疗能力延伸到患者家中的服务管理模式。患者在合作医疗机构执业医师指导下，于家中使用医疗级设备完成治疗性训练，治疗数据实时回传医院，形成院内—居家延续治疗闭环。广州圆爱康生物科技有限公司为合作医疗机构提供技术支持与客服运营服务。</w:t>
      </w:r>
    </w:p>
    <w:p>
      <w:r>
        <w:t>让治疗，不止于出院。</w:t>
      </w:r>
    </w:p>
    <w:p>
      <w:r>
        <w:t>（本文所述服务由合作医疗机构提供，诊疗行为由执业医师依规实施。）</w:t>
      </w:r>
    </w:p>
    <w:p>
      <w:r>
        <w:t>【互动引导】</w:t>
      </w:r>
    </w:p>
    <w:p>
      <w:r>
        <w:t>如果你的医院也在探索把治疗延伸到患者家中，或者你在过程中遇到过具体的卡点，欢迎留言交流。我们后续会陆续拆解合作中的实际问题。</w:t>
      </w:r>
    </w:p>
    <w:p>
      <w:pPr>
        <w:pStyle w:val="Heading2"/>
      </w:pPr>
      <w:r>
        <w:rPr>
          <w:rFonts w:ascii="微软雅黑" w:hAnsi="微软雅黑" w:eastAsia="微软雅黑"/>
          <w:color w:val="0B6B5C"/>
        </w:rPr>
        <w:t>配图脚本</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0b6b5c" w:val="clear"/>
          </w:tcPr>
          <w:p>
            <w:r/>
            <w:r>
              <w:rPr>
                <w:rFonts w:ascii="微软雅黑" w:hAnsi="微软雅黑" w:eastAsia="微软雅黑"/>
                <w:b/>
                <w:color w:val="FFFFFF"/>
                <w:sz w:val="18"/>
              </w:rPr>
              <w:t>图号</w:t>
            </w:r>
          </w:p>
        </w:tc>
        <w:tc>
          <w:tcPr>
            <w:tcW w:type="dxa" w:w="1234"/>
            <w:shd w:fill="0b6b5c" w:val="clear"/>
          </w:tcPr>
          <w:p>
            <w:r/>
            <w:r>
              <w:rPr>
                <w:rFonts w:ascii="微软雅黑" w:hAnsi="微软雅黑" w:eastAsia="微软雅黑"/>
                <w:b/>
                <w:color w:val="FFFFFF"/>
                <w:sz w:val="18"/>
              </w:rPr>
              <w:t>插入位置</w:t>
            </w:r>
          </w:p>
        </w:tc>
        <w:tc>
          <w:tcPr>
            <w:tcW w:type="dxa" w:w="1234"/>
            <w:shd w:fill="0b6b5c" w:val="clear"/>
          </w:tcPr>
          <w:p>
            <w:r/>
            <w:r>
              <w:rPr>
                <w:rFonts w:ascii="微软雅黑" w:hAnsi="微软雅黑" w:eastAsia="微软雅黑"/>
                <w:b/>
                <w:color w:val="FFFFFF"/>
                <w:sz w:val="18"/>
              </w:rPr>
              <w:t>画面内容</w:t>
            </w:r>
          </w:p>
        </w:tc>
        <w:tc>
          <w:tcPr>
            <w:tcW w:type="dxa" w:w="1234"/>
            <w:shd w:fill="0b6b5c" w:val="clear"/>
          </w:tcPr>
          <w:p>
            <w:r/>
            <w:r>
              <w:rPr>
                <w:rFonts w:ascii="微软雅黑" w:hAnsi="微软雅黑" w:eastAsia="微软雅黑"/>
                <w:b/>
                <w:color w:val="FFFFFF"/>
                <w:sz w:val="18"/>
              </w:rPr>
              <w:t>图上文字</w:t>
            </w:r>
          </w:p>
        </w:tc>
        <w:tc>
          <w:tcPr>
            <w:tcW w:type="dxa" w:w="1234"/>
            <w:shd w:fill="0b6b5c" w:val="clear"/>
          </w:tcPr>
          <w:p>
            <w:r/>
            <w:r>
              <w:rPr>
                <w:rFonts w:ascii="微软雅黑" w:hAnsi="微软雅黑" w:eastAsia="微软雅黑"/>
                <w:b/>
                <w:color w:val="FFFFFF"/>
                <w:sz w:val="18"/>
              </w:rPr>
              <w:t>尺寸比例</w:t>
            </w:r>
          </w:p>
        </w:tc>
        <w:tc>
          <w:tcPr>
            <w:tcW w:type="dxa" w:w="1234"/>
            <w:shd w:fill="0b6b5c" w:val="clear"/>
          </w:tcPr>
          <w:p>
            <w:r/>
            <w:r>
              <w:rPr>
                <w:rFonts w:ascii="微软雅黑" w:hAnsi="微软雅黑" w:eastAsia="微软雅黑"/>
                <w:b/>
                <w:color w:val="FFFFFF"/>
                <w:sz w:val="18"/>
              </w:rPr>
              <w:t>风格备注</w:t>
            </w:r>
          </w:p>
        </w:tc>
        <w:tc>
          <w:tcPr>
            <w:tcW w:type="dxa" w:w="1234"/>
            <w:shd w:fill="0b6b5c" w:val="clear"/>
          </w:tcPr>
          <w:p>
            <w:r/>
            <w:r>
              <w:rPr>
                <w:rFonts w:ascii="微软雅黑" w:hAnsi="微软雅黑" w:eastAsia="微软雅黑"/>
                <w:b/>
                <w:color w:val="FFFFFF"/>
                <w:sz w:val="18"/>
              </w:rPr>
              <w:t>来源建议</w:t>
            </w:r>
          </w:p>
        </w:tc>
      </w:tr>
      <w:tr>
        <w:tc>
          <w:tcPr>
            <w:tcW w:type="dxa" w:w="1234"/>
          </w:tcPr>
          <w:p>
            <w:r/>
            <w:r>
              <w:rPr>
                <w:rFonts w:ascii="微软雅黑" w:hAnsi="微软雅黑" w:eastAsia="微软雅黑"/>
                <w:b/>
                <w:sz w:val="18"/>
              </w:rPr>
              <w:t>1（封面图）</w:t>
            </w:r>
          </w:p>
        </w:tc>
        <w:tc>
          <w:tcPr>
            <w:tcW w:type="dxa" w:w="1234"/>
          </w:tcPr>
          <w:p>
            <w:r/>
            <w:r>
              <w:rPr>
                <w:rFonts w:ascii="微软雅黑" w:hAnsi="微软雅黑" w:eastAsia="微软雅黑"/>
                <w:sz w:val="18"/>
              </w:rPr>
              <w:t>顶部承接句下方</w:t>
            </w:r>
          </w:p>
        </w:tc>
        <w:tc>
          <w:tcPr>
            <w:tcW w:type="dxa" w:w="1234"/>
          </w:tcPr>
          <w:p>
            <w:r/>
            <w:r>
              <w:rPr>
                <w:rFonts w:ascii="微软雅黑" w:hAnsi="微软雅黑" w:eastAsia="微软雅黑"/>
                <w:sz w:val="18"/>
              </w:rPr>
              <w:t>五块拼图围成一圈，中央留白放"智慧家康"四字。五块拼图分别标注：医疗级家用设备、治疗数据物联网、院内—居家治疗闭环、六师共管、医院主导·第三方赋能</w:t>
            </w:r>
          </w:p>
        </w:tc>
        <w:tc>
          <w:tcPr>
            <w:tcW w:type="dxa" w:w="1234"/>
          </w:tcPr>
          <w:p>
            <w:r/>
            <w:r>
              <w:rPr>
                <w:rFonts w:ascii="微软雅黑" w:hAnsi="微软雅黑" w:eastAsia="微软雅黑"/>
                <w:sz w:val="18"/>
              </w:rPr>
              <w:t>智慧家康的五个要素</w:t>
            </w:r>
          </w:p>
        </w:tc>
        <w:tc>
          <w:tcPr>
            <w:tcW w:type="dxa" w:w="1234"/>
          </w:tcPr>
          <w:p>
            <w:r/>
            <w:r>
              <w:rPr>
                <w:rFonts w:ascii="微软雅黑" w:hAnsi="微软雅黑" w:eastAsia="微软雅黑"/>
                <w:sz w:val="18"/>
              </w:rPr>
              <w:t>2.35:1</w:t>
            </w:r>
          </w:p>
        </w:tc>
        <w:tc>
          <w:tcPr>
            <w:tcW w:type="dxa" w:w="1234"/>
          </w:tcPr>
          <w:p>
            <w:r/>
            <w:r>
              <w:rPr>
                <w:rFonts w:ascii="微软雅黑" w:hAnsi="微软雅黑" w:eastAsia="微软雅黑"/>
                <w:sz w:val="18"/>
              </w:rPr>
              <w:t>白底，五块拼图用品牌绿深浅五档区分；中央文字加粗最大</w:t>
            </w:r>
          </w:p>
        </w:tc>
        <w:tc>
          <w:tcPr>
            <w:tcW w:type="dxa" w:w="1234"/>
          </w:tcPr>
          <w:p>
            <w:r/>
            <w:r>
              <w:rPr>
                <w:rFonts w:ascii="微软雅黑" w:hAnsi="微软雅黑" w:eastAsia="微软雅黑"/>
                <w:sz w:val="18"/>
              </w:rPr>
              <w:t>自绘（信息图）</w:t>
            </w:r>
          </w:p>
        </w:tc>
      </w:tr>
      <w:tr>
        <w:tc>
          <w:tcPr>
            <w:tcW w:type="dxa" w:w="1234"/>
            <w:shd w:fill="F5F7FA" w:val="clear"/>
          </w:tcPr>
          <w:p>
            <w:r/>
            <w:r>
              <w:rPr>
                <w:rFonts w:ascii="微软雅黑" w:hAnsi="微软雅黑" w:eastAsia="微软雅黑"/>
                <w:b/>
                <w:sz w:val="18"/>
              </w:rPr>
              <w:t>2</w:t>
            </w:r>
          </w:p>
        </w:tc>
        <w:tc>
          <w:tcPr>
            <w:tcW w:type="dxa" w:w="1234"/>
            <w:shd w:fill="F5F7FA" w:val="clear"/>
          </w:tcPr>
          <w:p>
            <w:r/>
            <w:r>
              <w:rPr>
                <w:rFonts w:ascii="微软雅黑" w:hAnsi="微软雅黑" w:eastAsia="微软雅黑"/>
                <w:sz w:val="18"/>
              </w:rPr>
              <w:t>"三、为什么市面上的居家康复这么多，问题还在"小节后</w:t>
            </w:r>
          </w:p>
        </w:tc>
        <w:tc>
          <w:tcPr>
            <w:tcW w:type="dxa" w:w="1234"/>
            <w:shd w:fill="F5F7FA" w:val="clear"/>
          </w:tcPr>
          <w:p>
            <w:r/>
            <w:r>
              <w:rPr>
                <w:rFonts w:ascii="微软雅黑" w:hAnsi="微软雅黑" w:eastAsia="微软雅黑"/>
                <w:sz w:val="18"/>
              </w:rPr>
              <w:t>左右两栏对照表图形化：左栏【监测类】六行（做什么／典型产品／有无疗程／有无参数／有无疗效评估／是否医疗行为），右栏【治疗类】同样六行；两栏中间一道竖线分隔</w:t>
            </w:r>
          </w:p>
        </w:tc>
        <w:tc>
          <w:tcPr>
            <w:tcW w:type="dxa" w:w="1234"/>
            <w:shd w:fill="F5F7FA" w:val="clear"/>
          </w:tcPr>
          <w:p>
            <w:r/>
            <w:r>
              <w:rPr>
                <w:rFonts w:ascii="微软雅黑" w:hAnsi="微软雅黑" w:eastAsia="微软雅黑"/>
                <w:sz w:val="18"/>
              </w:rPr>
              <w:t>监测类 vs 治疗类：分水岭在哪</w:t>
            </w:r>
          </w:p>
        </w:tc>
        <w:tc>
          <w:tcPr>
            <w:tcW w:type="dxa" w:w="1234"/>
            <w:shd w:fill="F5F7FA" w:val="clear"/>
          </w:tcPr>
          <w:p>
            <w:r/>
            <w:r>
              <w:rPr>
                <w:rFonts w:ascii="微软雅黑" w:hAnsi="微软雅黑" w:eastAsia="微软雅黑"/>
                <w:sz w:val="18"/>
              </w:rPr>
              <w:t>16:9</w:t>
            </w:r>
          </w:p>
        </w:tc>
        <w:tc>
          <w:tcPr>
            <w:tcW w:type="dxa" w:w="1234"/>
            <w:shd w:fill="F5F7FA" w:val="clear"/>
          </w:tcPr>
          <w:p>
            <w:r/>
            <w:r>
              <w:rPr>
                <w:rFonts w:ascii="微软雅黑" w:hAnsi="微软雅黑" w:eastAsia="微软雅黑"/>
                <w:sz w:val="18"/>
              </w:rPr>
              <w:t>左栏灰调，右栏品牌绿调；六行逐条对齐，行距统一便于横向读</w:t>
            </w:r>
          </w:p>
        </w:tc>
        <w:tc>
          <w:tcPr>
            <w:tcW w:type="dxa" w:w="1234"/>
            <w:shd w:fill="F5F7FA" w:val="clear"/>
          </w:tcPr>
          <w:p>
            <w:r/>
            <w:r>
              <w:rPr>
                <w:rFonts w:ascii="微软雅黑" w:hAnsi="微软雅黑" w:eastAsia="微软雅黑"/>
                <w:sz w:val="18"/>
              </w:rPr>
              <w:t>自绘（对照表图形化，知乎可放大看，字可稍小）</w:t>
            </w:r>
          </w:p>
        </w:tc>
      </w:tr>
      <w:tr>
        <w:tc>
          <w:tcPr>
            <w:tcW w:type="dxa" w:w="1234"/>
          </w:tcPr>
          <w:p>
            <w:r/>
            <w:r>
              <w:rPr>
                <w:rFonts w:ascii="微软雅黑" w:hAnsi="微软雅黑" w:eastAsia="微软雅黑"/>
                <w:b/>
                <w:sz w:val="18"/>
              </w:rPr>
              <w:t>3</w:t>
            </w:r>
          </w:p>
        </w:tc>
        <w:tc>
          <w:tcPr>
            <w:tcW w:type="dxa" w:w="1234"/>
          </w:tcPr>
          <w:p>
            <w:r/>
            <w:r>
              <w:rPr>
                <w:rFonts w:ascii="微软雅黑" w:hAnsi="微软雅黑" w:eastAsia="微软雅黑"/>
                <w:sz w:val="18"/>
              </w:rPr>
              <w:t>"六、患者怎么用、钱怎么走"小节后</w:t>
            </w:r>
          </w:p>
        </w:tc>
        <w:tc>
          <w:tcPr>
            <w:tcW w:type="dxa" w:w="1234"/>
          </w:tcPr>
          <w:p>
            <w:r/>
            <w:r>
              <w:rPr>
                <w:rFonts w:ascii="微软雅黑" w:hAnsi="微软雅黑" w:eastAsia="微软雅黑"/>
                <w:sz w:val="18"/>
              </w:rPr>
              <w:t>横向七步流程图，每步一个方框加箭头：就诊评估  判断适合  医师开方案  取得设备  居家治疗（数据自动回传） 医师查看调整  疗程疗效评估</w:t>
            </w:r>
          </w:p>
        </w:tc>
        <w:tc>
          <w:tcPr>
            <w:tcW w:type="dxa" w:w="1234"/>
          </w:tcPr>
          <w:p>
            <w:r/>
            <w:r>
              <w:rPr>
                <w:rFonts w:ascii="微软雅黑" w:hAnsi="微软雅黑" w:eastAsia="微软雅黑"/>
                <w:sz w:val="18"/>
              </w:rPr>
              <w:t>从院内评估到居家疗程结束</w:t>
            </w:r>
          </w:p>
        </w:tc>
        <w:tc>
          <w:tcPr>
            <w:tcW w:type="dxa" w:w="1234"/>
          </w:tcPr>
          <w:p>
            <w:r/>
            <w:r>
              <w:rPr>
                <w:rFonts w:ascii="微软雅黑" w:hAnsi="微软雅黑" w:eastAsia="微软雅黑"/>
                <w:sz w:val="18"/>
              </w:rPr>
              <w:t>16:9</w:t>
            </w:r>
          </w:p>
        </w:tc>
        <w:tc>
          <w:tcPr>
            <w:tcW w:type="dxa" w:w="1234"/>
          </w:tcPr>
          <w:p>
            <w:r/>
            <w:r>
              <w:rPr>
                <w:rFonts w:ascii="微软雅黑" w:hAnsi="微软雅黑" w:eastAsia="微软雅黑"/>
                <w:sz w:val="18"/>
              </w:rPr>
              <w:t>品牌绿方框、辅助金箭头；第四步标注"可租可购"</w:t>
            </w:r>
          </w:p>
        </w:tc>
        <w:tc>
          <w:tcPr>
            <w:tcW w:type="dxa" w:w="1234"/>
          </w:tcPr>
          <w:p>
            <w:r/>
            <w:r>
              <w:rPr>
                <w:rFonts w:ascii="微软雅黑" w:hAnsi="微软雅黑" w:eastAsia="微软雅黑"/>
                <w:sz w:val="18"/>
              </w:rPr>
              <w:t>自绘（流程图）</w:t>
            </w:r>
          </w:p>
        </w:tc>
      </w:tr>
      <w:tr>
        <w:tc>
          <w:tcPr>
            <w:tcW w:type="dxa" w:w="1234"/>
            <w:shd w:fill="F5F7FA" w:val="clear"/>
          </w:tcPr>
          <w:p>
            <w:r/>
            <w:r>
              <w:rPr>
                <w:rFonts w:ascii="微软雅黑" w:hAnsi="微软雅黑" w:eastAsia="微软雅黑"/>
                <w:b/>
                <w:sz w:val="18"/>
              </w:rPr>
              <w:t>4</w:t>
            </w:r>
          </w:p>
        </w:tc>
        <w:tc>
          <w:tcPr>
            <w:tcW w:type="dxa" w:w="1234"/>
            <w:shd w:fill="F5F7FA" w:val="clear"/>
          </w:tcPr>
          <w:p>
            <w:r/>
            <w:r>
              <w:rPr>
                <w:rFonts w:ascii="微软雅黑" w:hAnsi="微软雅黑" w:eastAsia="微软雅黑"/>
                <w:sz w:val="18"/>
              </w:rPr>
              <w:t>"要素⑤ 医院主导·第三方赋能"小节后</w:t>
            </w:r>
          </w:p>
        </w:tc>
        <w:tc>
          <w:tcPr>
            <w:tcW w:type="dxa" w:w="1234"/>
            <w:shd w:fill="F5F7FA" w:val="clear"/>
          </w:tcPr>
          <w:p>
            <w:r/>
            <w:r>
              <w:rPr>
                <w:rFonts w:ascii="微软雅黑" w:hAnsi="微软雅黑" w:eastAsia="微软雅黑"/>
                <w:sz w:val="18"/>
              </w:rPr>
              <w:t>三方责任边界示意图：左侧"医院"框内写（诊疗主体／开单权／处方权／诊疗决策权），右侧"圆爱康"框内写（设备／系统／运营支持），两框之间一条明确竖线，线上标"不介入医疗判断"</w:t>
            </w:r>
          </w:p>
        </w:tc>
        <w:tc>
          <w:tcPr>
            <w:tcW w:type="dxa" w:w="1234"/>
            <w:shd w:fill="F5F7FA" w:val="clear"/>
          </w:tcPr>
          <w:p>
            <w:r/>
            <w:r>
              <w:rPr>
                <w:rFonts w:ascii="微软雅黑" w:hAnsi="微软雅黑" w:eastAsia="微软雅黑"/>
                <w:sz w:val="18"/>
              </w:rPr>
              <w:t>医院主导 · 第三方赋能</w:t>
            </w:r>
          </w:p>
        </w:tc>
        <w:tc>
          <w:tcPr>
            <w:tcW w:type="dxa" w:w="1234"/>
            <w:shd w:fill="F5F7FA" w:val="clear"/>
          </w:tcPr>
          <w:p>
            <w:r/>
            <w:r>
              <w:rPr>
                <w:rFonts w:ascii="微软雅黑" w:hAnsi="微软雅黑" w:eastAsia="微软雅黑"/>
                <w:sz w:val="18"/>
              </w:rPr>
              <w:t>16:9</w:t>
            </w:r>
          </w:p>
        </w:tc>
        <w:tc>
          <w:tcPr>
            <w:tcW w:type="dxa" w:w="1234"/>
            <w:shd w:fill="F5F7FA" w:val="clear"/>
          </w:tcPr>
          <w:p>
            <w:r/>
            <w:r>
              <w:rPr>
                <w:rFonts w:ascii="微软雅黑" w:hAnsi="微软雅黑" w:eastAsia="微软雅黑"/>
                <w:sz w:val="18"/>
              </w:rPr>
              <w:t>医院框用品牌绿实底，第三方框用浅绿描边；中间竖线用辅助金虚线</w:t>
            </w:r>
          </w:p>
        </w:tc>
        <w:tc>
          <w:tcPr>
            <w:tcW w:type="dxa" w:w="1234"/>
            <w:shd w:fill="F5F7FA" w:val="clear"/>
          </w:tcPr>
          <w:p>
            <w:r/>
            <w:r>
              <w:rPr>
                <w:rFonts w:ascii="微软雅黑" w:hAnsi="微软雅黑" w:eastAsia="微软雅黑"/>
                <w:sz w:val="18"/>
              </w:rPr>
              <w:t>自绘</w:t>
            </w:r>
          </w:p>
        </w:tc>
      </w:tr>
    </w:tbl>
    <w:p/>
    <w:p>
      <w:pPr>
        <w:pStyle w:val="Heading2"/>
      </w:pPr>
      <w:r>
        <w:rPr>
          <w:rFonts w:ascii="微软雅黑" w:hAnsi="微软雅黑" w:eastAsia="微软雅黑"/>
          <w:color w:val="0B6B5C"/>
        </w:rPr>
        <w:t>配色与风格规范</w:t>
      </w:r>
    </w:p>
    <w:p>
      <w:pPr>
        <w:pStyle w:val="ListBullet"/>
        <w:spacing w:after="80" w:line="324" w:lineRule="auto"/>
      </w:pPr>
      <w:r>
        <w:rPr>
          <w:rFonts w:ascii="微软雅黑" w:hAnsi="微软雅黑" w:eastAsia="微软雅黑"/>
          <w:sz w:val="20"/>
        </w:rPr>
        <w:t>- 品牌绿 #0b6b5c（主色，用于标题字、图形主体）</w:t>
      </w:r>
    </w:p>
    <w:p>
      <w:pPr>
        <w:pStyle w:val="ListBullet"/>
        <w:spacing w:after="80" w:line="324" w:lineRule="auto"/>
      </w:pPr>
      <w:r>
        <w:rPr>
          <w:rFonts w:ascii="微软雅黑" w:hAnsi="微软雅黑" w:eastAsia="微软雅黑"/>
          <w:sz w:val="20"/>
        </w:rPr>
        <w:t>- 辅助金 #c9a227（点缀，用于强调线、数字、箭头）</w:t>
      </w:r>
    </w:p>
    <w:p>
      <w:pPr>
        <w:pStyle w:val="ListBullet"/>
        <w:spacing w:after="80" w:line="324" w:lineRule="auto"/>
      </w:pPr>
      <w:r>
        <w:rPr>
          <w:rFonts w:ascii="微软雅黑" w:hAnsi="微软雅黑" w:eastAsia="微软雅黑"/>
          <w:sz w:val="20"/>
        </w:rPr>
        <w:t>- 白底为主，浅灰 #f5f7fa 作分区底</w:t>
      </w:r>
    </w:p>
    <w:p>
      <w:pPr>
        <w:pStyle w:val="ListBullet"/>
        <w:spacing w:after="80" w:line="324" w:lineRule="auto"/>
      </w:pPr>
      <w:r>
        <w:rPr>
          <w:rFonts w:ascii="微软雅黑" w:hAnsi="微软雅黑" w:eastAsia="微软雅黑"/>
          <w:sz w:val="20"/>
        </w:rPr>
        <w:t>- 字体：微软雅黑（标题加粗）；不用手写体、不用艺术字</w:t>
      </w:r>
    </w:p>
    <w:p>
      <w:pPr>
        <w:pStyle w:val="ListBullet"/>
        <w:spacing w:after="80" w:line="324" w:lineRule="auto"/>
      </w:pPr>
      <w:r>
        <w:rPr>
          <w:rFonts w:ascii="微软雅黑" w:hAnsi="微软雅黑" w:eastAsia="微软雅黑"/>
          <w:sz w:val="20"/>
        </w:rPr>
        <w:t>- 图形优先：图标、箭头、流程框、对照栏。不用网上下载的医生、护士、老人摆拍照片</w:t>
      </w:r>
    </w:p>
    <w:p>
      <w:pPr>
        <w:pStyle w:val="ListBullet"/>
        <w:spacing w:after="80" w:line="324" w:lineRule="auto"/>
      </w:pPr>
      <w:r>
        <w:rPr>
          <w:rFonts w:ascii="微软雅黑" w:hAnsi="微软雅黑" w:eastAsia="微软雅黑"/>
          <w:sz w:val="20"/>
        </w:rPr>
        <w:t>- 封面图统一在右下角放品牌 logo 小尺寸（约画面宽度 8%，不抢眼）</w:t>
      </w:r>
    </w:p>
    <w:p>
      <w:pPr>
        <w:pStyle w:val="Heading2"/>
      </w:pPr>
      <w:r>
        <w:rPr>
          <w:rFonts w:ascii="微软雅黑" w:hAnsi="微软雅黑" w:eastAsia="微软雅黑"/>
          <w:color w:val="0B6B5C"/>
        </w:rPr>
        <w:t>排版建议</w:t>
      </w:r>
    </w:p>
    <w:p>
      <w:pPr>
        <w:pStyle w:val="ListBullet"/>
        <w:spacing w:after="80" w:line="324" w:lineRule="auto"/>
      </w:pPr>
      <w:r>
        <w:rPr>
          <w:rFonts w:ascii="微软雅黑" w:hAnsi="微软雅黑" w:eastAsia="微软雅黑"/>
          <w:sz w:val="20"/>
        </w:rPr>
        <w:t>- 每段不超过 4 行，手机上一屏能读完一段</w:t>
      </w:r>
    </w:p>
    <w:p>
      <w:pPr>
        <w:pStyle w:val="ListBullet"/>
        <w:spacing w:after="80" w:line="324" w:lineRule="auto"/>
      </w:pPr>
      <w:r>
        <w:rPr>
          <w:rFonts w:ascii="微软雅黑" w:hAnsi="微软雅黑" w:eastAsia="微软雅黑"/>
          <w:sz w:val="20"/>
        </w:rPr>
        <w:t>- 小标题用品牌绿加粗，和正文拉开层次</w:t>
      </w:r>
    </w:p>
    <w:p>
      <w:pPr>
        <w:pStyle w:val="ListBullet"/>
        <w:spacing w:after="80" w:line="324" w:lineRule="auto"/>
      </w:pPr>
      <w:r>
        <w:rPr>
          <w:rFonts w:ascii="微软雅黑" w:hAnsi="微软雅黑" w:eastAsia="微软雅黑"/>
          <w:sz w:val="20"/>
        </w:rPr>
        <w:t>- 封面图决定打开率，标题字要占画面三分之二</w:t>
      </w:r>
    </w:p>
    <w:p>
      <w:pPr>
        <w:pStyle w:val="ListBullet"/>
        <w:spacing w:after="80" w:line="324" w:lineRule="auto"/>
      </w:pPr>
      <w:r>
        <w:rPr>
          <w:rFonts w:ascii="微软雅黑" w:hAnsi="微软雅黑" w:eastAsia="微软雅黑"/>
          <w:sz w:val="20"/>
        </w:rPr>
        <w:t>- 每张图之间至少隔 1 个自然段，不要连着放</w:t>
      </w:r>
    </w:p>
    <w:p>
      <w:pPr>
        <w:pStyle w:val="Heading2"/>
      </w:pPr>
      <w:r>
        <w:rPr>
          <w:rFonts w:ascii="微软雅黑" w:hAnsi="微软雅黑" w:eastAsia="微软雅黑"/>
          <w:color w:val="0B6B5C"/>
        </w:rPr>
        <w:t>发布检查清单</w:t>
      </w:r>
    </w:p>
    <w:p>
      <w:pPr>
        <w:pStyle w:val="ListBullet"/>
        <w:spacing w:after="80" w:line="324" w:lineRule="auto"/>
      </w:pPr>
      <w:r>
        <w:rPr>
          <w:rFonts w:ascii="微软雅黑" w:hAnsi="微软雅黑" w:eastAsia="微软雅黑"/>
          <w:sz w:val="20"/>
        </w:rPr>
        <w:t>- [ ] 配图已按本表全部做好，图上文字与表内一字不差</w:t>
      </w:r>
    </w:p>
    <w:p>
      <w:pPr>
        <w:pStyle w:val="ListBullet"/>
        <w:spacing w:after="80" w:line="324" w:lineRule="auto"/>
      </w:pPr>
      <w:r>
        <w:rPr>
          <w:rFonts w:ascii="微软雅黑" w:hAnsi="微软雅黑" w:eastAsia="微软雅黑"/>
          <w:sz w:val="20"/>
        </w:rPr>
        <w:t>- [ ] 封面图尺寸比例已按本表设置</w:t>
      </w:r>
    </w:p>
    <w:p>
      <w:pPr>
        <w:pStyle w:val="ListBullet"/>
        <w:spacing w:after="80" w:line="324" w:lineRule="auto"/>
      </w:pPr>
      <w:r>
        <w:rPr>
          <w:rFonts w:ascii="微软雅黑" w:hAnsi="微软雅黑" w:eastAsia="微软雅黑"/>
          <w:sz w:val="20"/>
        </w:rPr>
        <w:t>- [ ] 未使用网上下载的医生护士摆拍照片</w:t>
      </w:r>
    </w:p>
    <w:p>
      <w:pPr>
        <w:pStyle w:val="ListBullet"/>
        <w:spacing w:after="80" w:line="324" w:lineRule="auto"/>
      </w:pPr>
      <w:r>
        <w:rPr>
          <w:rFonts w:ascii="微软雅黑" w:hAnsi="微软雅黑" w:eastAsia="微软雅黑"/>
          <w:sz w:val="20"/>
        </w:rPr>
        <w:t>- [ ] 未出现医院全名、医生姓名、患者真实照片</w:t>
      </w:r>
    </w:p>
    <w:p>
      <w:pPr>
        <w:pStyle w:val="ListBullet"/>
        <w:spacing w:after="80" w:line="324" w:lineRule="auto"/>
      </w:pPr>
      <w:r>
        <w:rPr>
          <w:rFonts w:ascii="微软雅黑" w:hAnsi="微软雅黑" w:eastAsia="微软雅黑"/>
          <w:sz w:val="20"/>
        </w:rPr>
        <w:t>- [ ] 未出现"上门康复服务""包治""根治""治愈率"等表述</w:t>
      </w:r>
    </w:p>
    <w:p>
      <w:pPr>
        <w:pStyle w:val="ListBullet"/>
        <w:spacing w:after="80" w:line="324" w:lineRule="auto"/>
      </w:pPr>
      <w:r>
        <w:rPr>
          <w:rFonts w:ascii="微软雅黑" w:hAnsi="微软雅黑" w:eastAsia="微软雅黑"/>
          <w:sz w:val="20"/>
        </w:rPr>
        <w:t>- [ ] 品牌 logo 未放大到抢眼位置</w:t>
      </w:r>
    </w:p>
    <w:p>
      <w:pPr>
        <w:pStyle w:val="ListBullet"/>
        <w:spacing w:after="80" w:line="324" w:lineRule="auto"/>
      </w:pPr>
      <w:r>
        <w:rPr>
          <w:rFonts w:ascii="微软雅黑" w:hAnsi="微软雅黑" w:eastAsia="微软雅黑"/>
          <w:sz w:val="20"/>
        </w:rPr>
        <w:t>- [ ] 全文未出现具体承诺性效果表述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