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知乎 · 老欧个人号 · 第2篇</w:t>
      </w:r>
    </w:p>
    <w:p>
      <w:r>
        <w:t>【发布前必读 · 顶部引言（必须加，发的时候放正文最前面）】</w:t>
      </w:r>
    </w:p>
    <w:p>
      <w:r>
        <w:t>我叫老欧，做医疗康复这行三十年。写这个系列，是想把这些年我接触到的、听到的东西讲清楚——尤其是那些大家都遇到过、却一直没人真正解决的小事。</w:t>
      </w:r>
    </w:p>
    <w:p>
      <w:r>
        <w:rPr>
          <w:color w:val="BBBBBB"/>
        </w:rPr>
        <w:t>——————————————————————————————</w:t>
      </w:r>
    </w:p>
    <w:p>
      <w:r>
        <w:t>先说结论</w:t>
      </w:r>
    </w:p>
    <w:p>
      <w:r>
        <w:t>设备落灰，不是设备的问题。</w:t>
      </w:r>
    </w:p>
    <w:p>
      <w:r>
        <w:t>是它出了医院大门之后，方案断了、记录断了、没人在旁边管。</w:t>
      </w:r>
    </w:p>
    <w:p>
      <w:r>
        <w:t>我在这个行业里做了三十年，见过太多设备变成摆设。今天讲一个我这些年反复听到的场景。</w:t>
      </w:r>
    </w:p>
    <w:p>
      <w:r>
        <w:t>一、储物间里的七八台设备</w:t>
      </w:r>
    </w:p>
    <w:p>
      <w:r>
        <w:t>前两年有位医生跟我讲过一个场景。</w:t>
      </w:r>
    </w:p>
    <w:p>
      <w:r>
        <w:t>他们科康复室走廊尽头有个储物间，靠墙堆着七八台设备。护工说，这些是患者买回家用了没几次、后来又送回来的。</w:t>
      </w:r>
    </w:p>
    <w:p>
      <w:r>
        <w:t>我问他，那为什么不接着用？</w:t>
      </w:r>
    </w:p>
    <w:p>
      <w:r>
        <w:t>医生很坦白：出院了，我们看不到他在做什么。患者自己也说不清，做着做着就没底了，慢慢就不做了。</w:t>
      </w:r>
    </w:p>
    <w:p>
      <w:r>
        <w:t>那一下我明白了：这不是设备的问题。</w:t>
      </w:r>
    </w:p>
    <w:p>
      <w:r>
        <w:t>这些设备在医院里是有效的，医生会用、有方案、有评估。问题是它一旦出了医院大门，方案断了、记录断了、没人在旁边看他做得对不对——它就从"治疗工具"变成了一台机器。</w:t>
      </w:r>
    </w:p>
    <w:p>
      <w:r>
        <w:t>我后来想，这件事的本质其实很简单：在一个疗程里，患者不可能一直住院。床位要周转，费用要控制，指标稳定了就得走。可是治疗本身还没结束。</w:t>
      </w:r>
    </w:p>
    <w:p>
      <w:r>
        <w:t>出了院，谁接？</w:t>
      </w:r>
    </w:p>
    <w:p>
      <w:r>
        <w:t>这个问题，我当时没答案。后来我发现，整个行业都没答案。</w:t>
      </w:r>
    </w:p>
    <w:p>
      <w:r>
        <w:t>二、为什么"买一台回家练"这条路走不通</w:t>
      </w:r>
    </w:p>
    <w:p>
      <w:r>
        <w:t>设备送回家这件事，行业里试过很多轮。为什么大多没成？</w:t>
      </w:r>
    </w:p>
    <w:p>
      <w:r>
        <w:t>我琢磨下来，卡在四个地方。</w:t>
      </w:r>
    </w:p>
    <w:p>
      <w:r>
        <w:t>第一，没有方案。</w:t>
      </w:r>
    </w:p>
    <w:p>
      <w:r>
        <w:t>"买个设备自己练"，和"医生评估之后开一个疗程的方案"，是两件完全不同的事。前者是健身思路，后者是治疗。没有方案的设备，患者不知道要做几次、什么参数、做多久算够——做着做着就没底了。</w:t>
      </w:r>
    </w:p>
    <w:p>
      <w:r>
        <w:t>第二，没有记录。</w:t>
      </w:r>
    </w:p>
    <w:p>
      <w:r>
        <w:t>患者自己记吗？我见过两种情况：一种是怕被医生说，往好了记；另一种是认真记但记错了时间、记混了次数。数据一旦不可信，医生就没法依据它做判断。</w:t>
      </w:r>
    </w:p>
    <w:p>
      <w:r>
        <w:t>第三，没有人管。</w:t>
      </w:r>
    </w:p>
    <w:p>
      <w:r>
        <w:t>设备坏了找谁？做的时候有疑问问谁？依从性掉下来了谁来提醒？这三件事没人接，患者就会自己停下来。这不是患者不自律，是没有支撑结构。</w:t>
      </w:r>
    </w:p>
    <w:p>
      <w:r>
        <w:t>第四，没有评估。</w:t>
      </w:r>
    </w:p>
    <w:p>
      <w:r>
        <w:t>一个疗程做完了，有没有效果？和入院时相比好了多少？下一疗程要不要调整？这些必须由医生根据数据来判断。没有评估，治疗就没有终点，也没有下一段。</w:t>
      </w:r>
    </w:p>
    <w:p>
      <w:r>
        <w:t>所以我判断：设备回家不是问题，"设备回家了也没人管"才是问题。</w:t>
      </w:r>
    </w:p>
    <w:p>
      <w:r>
        <w:t>三、我见过的三种"假答案"</w:t>
      </w:r>
    </w:p>
    <w:p>
      <w:r>
        <w:t>这几年"居家康复"这个词被用得很泛。接触下来，有三类做法都能叫这个名字，但都不是我要说的那件事。</w:t>
      </w:r>
    </w:p>
    <w:p>
      <w:r>
        <w:t>第一种，把监测当治疗。</w:t>
      </w:r>
    </w:p>
    <w:p>
      <w:r>
        <w:t>血压计、血糖仪、手环、体脂秤——这些东西有用，解决的是"我知道我的情况"。但它不负责让你变好。它的上限是提醒你该去医院了。这属于健康管理，不是治疗。</w:t>
      </w:r>
    </w:p>
    <w:p>
      <w:r>
        <w:t>判断标准很简单：有没有疗程？有没有个体化治疗参数？有没有按周期做的疗效评估？三个都没有，那就是监测。</w:t>
      </w:r>
    </w:p>
    <w:p>
      <w:r>
        <w:t>第二种，把设备送回家就算完。</w:t>
      </w:r>
    </w:p>
    <w:p>
      <w:r>
        <w:t>就是储物间里那七八台。设备是对的，医疗级的，但送回去就完了——没有医生开的方案，没有过程记录，没有人在中途看。</w:t>
      </w:r>
    </w:p>
    <w:p>
      <w:r>
        <w:t>第三种，把上门当居家。</w:t>
      </w:r>
    </w:p>
    <w:p>
      <w:r>
        <w:t>派人上门做，这当然也算一种解法，但那是另一门生意。上门必须由医疗持证人员执行，是重资产，成本结构和质量管控都是另一套逻辑。</w:t>
      </w:r>
    </w:p>
    <w:p>
      <w:r>
        <w:t>我要说的不是这三种。</w:t>
      </w:r>
    </w:p>
    <w:p>
      <w:r>
        <w:t>四、设备想不落灰，得补上四样东西</w:t>
      </w:r>
    </w:p>
    <w:p>
      <w:r>
        <w:t>我后来琢磨这件事，觉得它其实是一条链子，四个环节，缺一个都不成立。</w:t>
      </w:r>
    </w:p>
    <w:p>
      <w:r>
        <w:t>① 方案得从医生手里出</w:t>
      </w:r>
    </w:p>
    <w:p>
      <w:r>
        <w:t>不是"买个设备自己练"，是主治医师评估之后，开具居家治疗方案。什么病、用什么方案、几个疗程、什么参数，医生定。</w:t>
      </w:r>
    </w:p>
    <w:p>
      <w:r>
        <w:t>这一环我特别在意：它是医疗行为的起点。任何第三方都替代不了，也不该替代。</w:t>
      </w:r>
    </w:p>
    <w:p>
      <w:r>
        <w:t>② 患者在家用医疗级设备做治疗性训练</w:t>
      </w:r>
    </w:p>
    <w:p>
      <w:r>
        <w:t>设备有两类，我说清楚：一是与医院在用同类型治疗设备的家用化形态，有明确治疗参数和适用范围；二是设备本身连着一张网——治疗过程数据自动采集、实时回传医院。</w:t>
      </w:r>
    </w:p>
    <w:p>
      <w:r>
        <w:t>注意"自动"这两个字。</w:t>
      </w:r>
    </w:p>
    <w:p>
      <w:r>
        <w:t>③ 数据回医院，这是整个环节的命门</w:t>
      </w:r>
    </w:p>
    <w:p>
      <w:r>
        <w:t>只有设备自产、实时回传的数据才有用。</w:t>
      </w:r>
    </w:p>
    <w:p>
      <w:r>
        <w:t>医生打开系统看到的是：今天做没做、做了多久、参数是多少、依从性怎么样、几个疗程的趋势怎么走。是他没见面的这些天里，患者真实的执行情况。</w:t>
      </w:r>
    </w:p>
    <w:p>
      <w:r>
        <w:t>数据归属我也说一句：患者在医院治疗产生的数据，归属医院。</w:t>
      </w:r>
    </w:p>
    <w:p>
      <w:r>
        <w:t>④ 得有人在中间管着</w:t>
      </w:r>
    </w:p>
    <w:p>
      <w:r>
        <w:t>数据回来了没人管，等于没有。</w:t>
      </w:r>
    </w:p>
    <w:p>
      <w:r>
        <w:t>患者有疑问得有人答（不是机器人），依从性掉下来得有人提醒，医生要调方案得有依据，设备故障得有人管。</w:t>
      </w:r>
    </w:p>
    <w:p>
      <w:r>
        <w:t>这件事需要六个角色协作：医生、护士、康复师，加上客服、系统支持、流程督导。行业里管这叫"六师共管"。</w:t>
      </w:r>
    </w:p>
    <w:p>
      <w:r>
        <w:t>这里有个我吃过教训的点：所有设计的第一原则是——让医生用起来不累。</w:t>
      </w:r>
    </w:p>
    <w:p>
      <w:r>
        <w:t>医生想看患者的谁，点开就行；不该被打扰的时候不打扰，不需要回消息、不需要走流程。我见过太多"看起来很完整"的系统，最后死于医生嫌麻烦。</w:t>
      </w:r>
    </w:p>
    <w:p>
      <w:r>
        <w:t>五、补上这四样，医院那边会怎样</w:t>
      </w:r>
    </w:p>
    <w:p>
      <w:r>
        <w:t>技术上讲通不难，难的是医院凭什么配合。</w:t>
      </w:r>
    </w:p>
    <w:p>
      <w:r>
        <w:t>我一开始的担心是：医院会不会觉得这是要动他的患者、分他的权？后来发现方向反了——医院的诊疗主体地位不但没变，反而更强了。</w:t>
      </w:r>
    </w:p>
    <w:p>
      <w:r>
        <w:t>因为它补的是一条本来就该由医院提供、却一直断着的链子：</w:t>
      </w:r>
    </w:p>
    <w:p>
      <w:r>
        <w:t>一个疗程本该做 20 次，过去患者做 6 次出院就断了，剩下 14 次的价值直接蒸发。现在能治满。</w:t>
      </w:r>
    </w:p>
    <w:p>
      <w:r>
        <w:t>不新增床位、不新增人力，本科室治疗能力延伸到患者家中。</w:t>
      </w:r>
    </w:p>
    <w:p>
      <w:r>
        <w:t>出院不等于失联，患者还在医院的服务体系里。</w:t>
      </w:r>
    </w:p>
    <w:p>
      <w:r>
        <w:t>科室治疗量、依从性、复诊率，有数据可依。</w:t>
      </w:r>
    </w:p>
    <w:p>
      <w:r>
        <w:t>第三方在这里的位置很清楚：赋能方，不是替代方。第三方出设备、系统和运营支持；医院出医疗主体和诊疗能力。开单权、诊疗决策权，始终在医院和执业医师手里。</w:t>
      </w:r>
    </w:p>
    <w:p>
      <w:r>
        <w:t>六、回到那个储物间</w:t>
      </w:r>
    </w:p>
    <w:p>
      <w:r>
        <w:t>如果那些设备还在，我现在大概能回答当年那个问题了。</w:t>
      </w:r>
    </w:p>
    <w:p>
      <w:r>
        <w:t>它们落灰，不是因为不好，是因为出了医院之后，没有人接着管。方案断在医院门口，记录断在出院那天。</w:t>
      </w:r>
    </w:p>
    <w:p>
      <w:r>
        <w:t>要做到不让它再落灰，五样东西得同时在位——医疗级家用设备、治疗数据物联网、院内—居家治疗闭环、六师共管、医院主导·第三方赋能。</w:t>
      </w:r>
    </w:p>
    <w:p>
      <w:r>
        <w:t>少任何一样，它就会退回成"卖设备"，或者"做个 APP"。</w:t>
      </w:r>
    </w:p>
    <w:p>
      <w:r>
        <w:t>三十年里我看过太多轮风口：设备卖过一轮又一轮，概念换过一个又一个。但这件小事一直没人真正解决——患者出了院，治疗就断了。</w:t>
      </w:r>
    </w:p>
    <w:p>
      <w:r>
        <w:t>这套东西有人已经在做了。但我更想说的是：这不是某一家的生意，是这个行业欠患者的那一段，早该被补上了。</w:t>
      </w:r>
    </w:p>
    <w:p>
      <w:r>
        <w:t>（以上内容仅为个人行业观察，所述服务由合作医疗机构提供。）</w:t>
      </w:r>
    </w:p>
    <w:p>
      <w:r>
        <w:t>【互动引导】</w:t>
      </w:r>
    </w:p>
    <w:p>
      <w:r>
        <w:t>如果你在医院或相关行业，也遇到过"设备送回家就不了了之"的情况，欢迎在评论区讲讲你看到的样子。也想听听：你觉得卡点到底在患者身上，还是在别的什么地方？</w:t>
      </w:r>
    </w:p>
    <w:p>
      <w:pPr>
        <w:pStyle w:val="Heading2"/>
      </w:pPr>
      <w:r>
        <w:rPr>
          <w:rFonts w:ascii="微软雅黑" w:hAnsi="微软雅黑" w:eastAsia="微软雅黑"/>
          <w:color w:val="0B6B5C"/>
        </w:rPr>
        <w:t>配图脚本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0b6b5c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图号</w:t>
            </w:r>
          </w:p>
        </w:tc>
        <w:tc>
          <w:tcPr>
            <w:tcW w:type="dxa" w:w="1234"/>
            <w:shd w:fill="0b6b5c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插入位置</w:t>
            </w:r>
          </w:p>
        </w:tc>
        <w:tc>
          <w:tcPr>
            <w:tcW w:type="dxa" w:w="1234"/>
            <w:shd w:fill="0b6b5c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画面内容</w:t>
            </w:r>
          </w:p>
        </w:tc>
        <w:tc>
          <w:tcPr>
            <w:tcW w:type="dxa" w:w="1234"/>
            <w:shd w:fill="0b6b5c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图上文字</w:t>
            </w:r>
          </w:p>
        </w:tc>
        <w:tc>
          <w:tcPr>
            <w:tcW w:type="dxa" w:w="1234"/>
            <w:shd w:fill="0b6b5c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尺寸比例</w:t>
            </w:r>
          </w:p>
        </w:tc>
        <w:tc>
          <w:tcPr>
            <w:tcW w:type="dxa" w:w="1234"/>
            <w:shd w:fill="0b6b5c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风格备注</w:t>
            </w:r>
          </w:p>
        </w:tc>
        <w:tc>
          <w:tcPr>
            <w:tcW w:type="dxa" w:w="1234"/>
            <w:shd w:fill="0b6b5c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来源建议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1（封面图）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sz w:val="18"/>
              </w:rPr>
              <w:t>标题下方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sz w:val="18"/>
              </w:rPr>
              <w:t>一间储物间的角落，靠墙立着七八台大小不一的设备，表面落灰。画面偏灰白冷调，不出现任何品牌、型号、人物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sz w:val="18"/>
              </w:rPr>
              <w:t>储物间里的七八台设备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sz w:val="18"/>
              </w:rPr>
              <w:t>2.35:1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sz w:val="18"/>
              </w:rPr>
              <w:t>白底+灰调线描风格，克制、不煽情；设备用简笔轮廓画，不画具体型号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sz w:val="18"/>
              </w:rPr>
              <w:t>自绘（Canva/稿定），线描图标拼合</w:t>
            </w:r>
          </w:p>
        </w:tc>
      </w:tr>
      <w:tr>
        <w:tc>
          <w:tcPr>
            <w:tcW w:type="dxa" w:w="1234"/>
            <w:shd w:fill="F5F7FA" w:val="clear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</w:t>
            </w:r>
          </w:p>
        </w:tc>
        <w:tc>
          <w:tcPr>
            <w:tcW w:type="dxa" w:w="1234"/>
            <w:shd w:fill="F5F7FA" w:val="clear"/>
          </w:tcPr>
          <w:p>
            <w:r/>
            <w:r>
              <w:rPr>
                <w:rFonts w:ascii="微软雅黑" w:hAnsi="微软雅黑" w:eastAsia="微软雅黑"/>
                <w:sz w:val="18"/>
              </w:rPr>
              <w:t>"一、储物间里的七八台设备"小节后</w:t>
            </w:r>
          </w:p>
        </w:tc>
        <w:tc>
          <w:tcPr>
            <w:tcW w:type="dxa" w:w="1234"/>
            <w:shd w:fill="F5F7FA" w:val="clear"/>
          </w:tcPr>
          <w:p>
            <w:r/>
            <w:r>
              <w:rPr>
                <w:rFonts w:ascii="微软雅黑" w:hAnsi="微软雅黑" w:eastAsia="微软雅黑"/>
                <w:sz w:val="18"/>
              </w:rPr>
              <w:t>一台设备从画面左侧的"医院"门框走出到右侧"家"的屋内；设备身后有三根连线，依次断裂（第一根断口在门框处，第二根断在半路，第三根断在设备旁）</w:t>
            </w:r>
          </w:p>
        </w:tc>
        <w:tc>
          <w:tcPr>
            <w:tcW w:type="dxa" w:w="1234"/>
            <w:shd w:fill="F5F7FA" w:val="clear"/>
          </w:tcPr>
          <w:p>
            <w:r/>
            <w:r>
              <w:rPr>
                <w:rFonts w:ascii="微软雅黑" w:hAnsi="微软雅黑" w:eastAsia="微软雅黑"/>
                <w:sz w:val="18"/>
              </w:rPr>
              <w:t>方案断了 ／ 记录断了 ／ 陪伴断了</w:t>
            </w:r>
          </w:p>
        </w:tc>
        <w:tc>
          <w:tcPr>
            <w:tcW w:type="dxa" w:w="1234"/>
            <w:shd w:fill="F5F7FA" w:val="clear"/>
          </w:tcPr>
          <w:p>
            <w:r/>
            <w:r>
              <w:rPr>
                <w:rFonts w:ascii="微软雅黑" w:hAnsi="微软雅黑" w:eastAsia="微软雅黑"/>
                <w:sz w:val="18"/>
              </w:rPr>
              <w:t>16:9</w:t>
            </w:r>
          </w:p>
        </w:tc>
        <w:tc>
          <w:tcPr>
            <w:tcW w:type="dxa" w:w="1234"/>
            <w:shd w:fill="F5F7FA" w:val="clear"/>
          </w:tcPr>
          <w:p>
            <w:r/>
            <w:r>
              <w:rPr>
                <w:rFonts w:ascii="微软雅黑" w:hAnsi="微软雅黑" w:eastAsia="微软雅黑"/>
                <w:sz w:val="18"/>
              </w:rPr>
              <w:t>白底+品牌绿线条；三处断口用辅助金标出</w:t>
            </w:r>
          </w:p>
        </w:tc>
        <w:tc>
          <w:tcPr>
            <w:tcW w:type="dxa" w:w="1234"/>
            <w:shd w:fill="F5F7FA" w:val="clear"/>
          </w:tcPr>
          <w:p>
            <w:r/>
            <w:r>
              <w:rPr>
                <w:rFonts w:ascii="微软雅黑" w:hAnsi="微软雅黑" w:eastAsia="微软雅黑"/>
                <w:sz w:val="18"/>
              </w:rPr>
              <w:t>自绘（流程图风格）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sz w:val="18"/>
              </w:rPr>
              <w:t>"二、为什么买一台回家练这条路走不通"小节后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sz w:val="18"/>
              </w:rPr>
              <w:t>三栏并列，每栏一个图标各带一个禁止符号：①血压计/手环（旁注"只呈现状态"）②设备+纸箱（旁注"送回家就完了"）③上门的人形图标（旁注"必须持证执行"）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sz w:val="18"/>
              </w:rPr>
              <w:t>监测不等于治疗 ／ 送回家不等于居家 ／ 上门不等于居家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sz w:val="18"/>
              </w:rPr>
              <w:t>16:9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sz w:val="18"/>
              </w:rPr>
              <w:t>三栏等宽，浅灰底分区；每栏顶部一个禁止符号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sz w:val="18"/>
              </w:rPr>
              <w:t>自绘（图标库拼合）</w:t>
            </w:r>
          </w:p>
        </w:tc>
      </w:tr>
      <w:tr>
        <w:tc>
          <w:tcPr>
            <w:tcW w:type="dxa" w:w="1234"/>
            <w:shd w:fill="F5F7FA" w:val="clear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4</w:t>
            </w:r>
          </w:p>
        </w:tc>
        <w:tc>
          <w:tcPr>
            <w:tcW w:type="dxa" w:w="1234"/>
            <w:shd w:fill="F5F7FA" w:val="clear"/>
          </w:tcPr>
          <w:p>
            <w:r/>
            <w:r>
              <w:rPr>
                <w:rFonts w:ascii="微软雅黑" w:hAnsi="微软雅黑" w:eastAsia="微软雅黑"/>
                <w:sz w:val="18"/>
              </w:rPr>
              <w:t>"四、设备想不落灰，得补上四样东西"小节后</w:t>
            </w:r>
          </w:p>
        </w:tc>
        <w:tc>
          <w:tcPr>
            <w:tcW w:type="dxa" w:w="1234"/>
            <w:shd w:fill="F5F7FA" w:val="clear"/>
          </w:tcPr>
          <w:p>
            <w:r/>
            <w:r>
              <w:rPr>
                <w:rFonts w:ascii="微软雅黑" w:hAnsi="微软雅黑" w:eastAsia="微软雅黑"/>
                <w:sz w:val="18"/>
              </w:rPr>
              <w:t>一条由四个环扣成的链条，环内分别为：方案（医师开方）、治疗（医疗级设备）、数据（自动回传）、人（有人管）。四环全部闭合、无断口</w:t>
            </w:r>
          </w:p>
        </w:tc>
        <w:tc>
          <w:tcPr>
            <w:tcW w:type="dxa" w:w="1234"/>
            <w:shd w:fill="F5F7FA" w:val="clear"/>
          </w:tcPr>
          <w:p>
            <w:r/>
            <w:r>
              <w:rPr>
                <w:rFonts w:ascii="微软雅黑" w:hAnsi="微软雅黑" w:eastAsia="微软雅黑"/>
                <w:sz w:val="18"/>
              </w:rPr>
              <w:t>四样东西，缺一个都不成立</w:t>
            </w:r>
          </w:p>
        </w:tc>
        <w:tc>
          <w:tcPr>
            <w:tcW w:type="dxa" w:w="1234"/>
            <w:shd w:fill="F5F7FA" w:val="clear"/>
          </w:tcPr>
          <w:p>
            <w:r/>
            <w:r>
              <w:rPr>
                <w:rFonts w:ascii="微软雅黑" w:hAnsi="微软雅黑" w:eastAsia="微软雅黑"/>
                <w:sz w:val="18"/>
              </w:rPr>
              <w:t>16:9</w:t>
            </w:r>
          </w:p>
        </w:tc>
        <w:tc>
          <w:tcPr>
            <w:tcW w:type="dxa" w:w="1234"/>
            <w:shd w:fill="F5F7FA" w:val="clear"/>
          </w:tcPr>
          <w:p>
            <w:r/>
            <w:r>
              <w:rPr>
                <w:rFonts w:ascii="微软雅黑" w:hAnsi="微软雅黑" w:eastAsia="微软雅黑"/>
                <w:sz w:val="18"/>
              </w:rPr>
              <w:t>品牌绿圆环，环内文字白色；四环之间用辅助金扣件连接</w:t>
            </w:r>
          </w:p>
        </w:tc>
        <w:tc>
          <w:tcPr>
            <w:tcW w:type="dxa" w:w="1234"/>
            <w:shd w:fill="F5F7FA" w:val="clear"/>
          </w:tcPr>
          <w:p>
            <w:r/>
            <w:r>
              <w:rPr>
                <w:rFonts w:ascii="微软雅黑" w:hAnsi="微软雅黑" w:eastAsia="微软雅黑"/>
                <w:sz w:val="18"/>
              </w:rPr>
              <w:t>自绘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0B6B5C"/>
        </w:rPr>
        <w:t>配色与风格规范</w:t>
      </w:r>
    </w:p>
    <w:p>
      <w:pPr>
        <w:pStyle w:val="ListBullet"/>
        <w:spacing w:after="80" w:line="324" w:lineRule="auto"/>
      </w:pPr>
      <w:r>
        <w:rPr>
          <w:rFonts w:ascii="微软雅黑" w:hAnsi="微软雅黑" w:eastAsia="微软雅黑"/>
          <w:sz w:val="20"/>
        </w:rPr>
        <w:t>- 品牌绿 #0b6b5c（主色，用于标题字、图形主体）</w:t>
      </w:r>
    </w:p>
    <w:p>
      <w:pPr>
        <w:pStyle w:val="ListBullet"/>
        <w:spacing w:after="80" w:line="324" w:lineRule="auto"/>
      </w:pPr>
      <w:r>
        <w:rPr>
          <w:rFonts w:ascii="微软雅黑" w:hAnsi="微软雅黑" w:eastAsia="微软雅黑"/>
          <w:sz w:val="20"/>
        </w:rPr>
        <w:t>- 辅助金 #c9a227（点缀，用于强调线、数字、箭头）</w:t>
      </w:r>
    </w:p>
    <w:p>
      <w:pPr>
        <w:pStyle w:val="ListBullet"/>
        <w:spacing w:after="80" w:line="324" w:lineRule="auto"/>
      </w:pPr>
      <w:r>
        <w:rPr>
          <w:rFonts w:ascii="微软雅黑" w:hAnsi="微软雅黑" w:eastAsia="微软雅黑"/>
          <w:sz w:val="20"/>
        </w:rPr>
        <w:t>- 白底为主，浅灰 #f5f7fa 作分区底</w:t>
      </w:r>
    </w:p>
    <w:p>
      <w:pPr>
        <w:pStyle w:val="ListBullet"/>
        <w:spacing w:after="80" w:line="324" w:lineRule="auto"/>
      </w:pPr>
      <w:r>
        <w:rPr>
          <w:rFonts w:ascii="微软雅黑" w:hAnsi="微软雅黑" w:eastAsia="微软雅黑"/>
          <w:sz w:val="20"/>
        </w:rPr>
        <w:t>- 字体：微软雅黑（标题加粗）；不用手写体、不用艺术字</w:t>
      </w:r>
    </w:p>
    <w:p>
      <w:pPr>
        <w:pStyle w:val="ListBullet"/>
        <w:spacing w:after="80" w:line="324" w:lineRule="auto"/>
      </w:pPr>
      <w:r>
        <w:rPr>
          <w:rFonts w:ascii="微软雅黑" w:hAnsi="微软雅黑" w:eastAsia="微软雅黑"/>
          <w:sz w:val="20"/>
        </w:rPr>
        <w:t>- 图形优先：图标、箭头、流程框、对照栏。不用网上下载的医生、护士、老人摆拍照片</w:t>
      </w:r>
    </w:p>
    <w:p>
      <w:pPr>
        <w:pStyle w:val="ListBullet"/>
        <w:spacing w:after="80" w:line="324" w:lineRule="auto"/>
      </w:pPr>
      <w:r>
        <w:rPr>
          <w:rFonts w:ascii="微软雅黑" w:hAnsi="微软雅黑" w:eastAsia="微软雅黑"/>
          <w:sz w:val="20"/>
        </w:rPr>
        <w:t>- 封面图统一在右下角放品牌 logo 小尺寸（约画面宽度 8%，不抢眼）</w:t>
      </w:r>
    </w:p>
    <w:p>
      <w:pPr>
        <w:pStyle w:val="Heading2"/>
      </w:pPr>
      <w:r>
        <w:rPr>
          <w:rFonts w:ascii="微软雅黑" w:hAnsi="微软雅黑" w:eastAsia="微软雅黑"/>
          <w:color w:val="0B6B5C"/>
        </w:rPr>
        <w:t>排版建议</w:t>
      </w:r>
    </w:p>
    <w:p>
      <w:pPr>
        <w:pStyle w:val="ListBullet"/>
        <w:spacing w:after="80" w:line="324" w:lineRule="auto"/>
      </w:pPr>
      <w:r>
        <w:rPr>
          <w:rFonts w:ascii="微软雅黑" w:hAnsi="微软雅黑" w:eastAsia="微软雅黑"/>
          <w:sz w:val="20"/>
        </w:rPr>
        <w:t>- 每段不超过 4 行，手机上一屏能读完一段</w:t>
      </w:r>
    </w:p>
    <w:p>
      <w:pPr>
        <w:pStyle w:val="ListBullet"/>
        <w:spacing w:after="80" w:line="324" w:lineRule="auto"/>
      </w:pPr>
      <w:r>
        <w:rPr>
          <w:rFonts w:ascii="微软雅黑" w:hAnsi="微软雅黑" w:eastAsia="微软雅黑"/>
          <w:sz w:val="20"/>
        </w:rPr>
        <w:t>- 小标题用品牌绿加粗，和正文拉开层次</w:t>
      </w:r>
    </w:p>
    <w:p>
      <w:pPr>
        <w:pStyle w:val="ListBullet"/>
        <w:spacing w:after="80" w:line="324" w:lineRule="auto"/>
      </w:pPr>
      <w:r>
        <w:rPr>
          <w:rFonts w:ascii="微软雅黑" w:hAnsi="微软雅黑" w:eastAsia="微软雅黑"/>
          <w:sz w:val="20"/>
        </w:rPr>
        <w:t>- 封面图决定打开率，标题字要占画面三分之二</w:t>
      </w:r>
    </w:p>
    <w:p>
      <w:pPr>
        <w:pStyle w:val="ListBullet"/>
        <w:spacing w:after="80" w:line="324" w:lineRule="auto"/>
      </w:pPr>
      <w:r>
        <w:rPr>
          <w:rFonts w:ascii="微软雅黑" w:hAnsi="微软雅黑" w:eastAsia="微软雅黑"/>
          <w:sz w:val="20"/>
        </w:rPr>
        <w:t>- 每张图之间至少隔 1 个自然段，不要连着放</w:t>
      </w:r>
    </w:p>
    <w:p>
      <w:pPr>
        <w:pStyle w:val="Heading2"/>
      </w:pPr>
      <w:r>
        <w:rPr>
          <w:rFonts w:ascii="微软雅黑" w:hAnsi="微软雅黑" w:eastAsia="微软雅黑"/>
          <w:color w:val="0B6B5C"/>
        </w:rPr>
        <w:t>发布检查清单</w:t>
      </w:r>
    </w:p>
    <w:p>
      <w:pPr>
        <w:pStyle w:val="ListBullet"/>
        <w:spacing w:after="80" w:line="324" w:lineRule="auto"/>
      </w:pPr>
      <w:r>
        <w:rPr>
          <w:rFonts w:ascii="微软雅黑" w:hAnsi="微软雅黑" w:eastAsia="微软雅黑"/>
          <w:sz w:val="20"/>
        </w:rPr>
        <w:t>- [ ] 配图已按本表全部做好，图上文字与表内一字不差</w:t>
      </w:r>
    </w:p>
    <w:p>
      <w:pPr>
        <w:pStyle w:val="ListBullet"/>
        <w:spacing w:after="80" w:line="324" w:lineRule="auto"/>
      </w:pPr>
      <w:r>
        <w:rPr>
          <w:rFonts w:ascii="微软雅黑" w:hAnsi="微软雅黑" w:eastAsia="微软雅黑"/>
          <w:sz w:val="20"/>
        </w:rPr>
        <w:t>- [ ] 封面图尺寸比例已按本表设置</w:t>
      </w:r>
    </w:p>
    <w:p>
      <w:pPr>
        <w:pStyle w:val="ListBullet"/>
        <w:spacing w:after="80" w:line="324" w:lineRule="auto"/>
      </w:pPr>
      <w:r>
        <w:rPr>
          <w:rFonts w:ascii="微软雅黑" w:hAnsi="微软雅黑" w:eastAsia="微软雅黑"/>
          <w:sz w:val="20"/>
        </w:rPr>
        <w:t>- [ ] 未使用网上下载的医生护士摆拍照片</w:t>
      </w:r>
    </w:p>
    <w:p>
      <w:pPr>
        <w:pStyle w:val="ListBullet"/>
        <w:spacing w:after="80" w:line="324" w:lineRule="auto"/>
      </w:pPr>
      <w:r>
        <w:rPr>
          <w:rFonts w:ascii="微软雅黑" w:hAnsi="微软雅黑" w:eastAsia="微软雅黑"/>
          <w:sz w:val="20"/>
        </w:rPr>
        <w:t>- [ ] 未出现医院全名、医生姓名、患者真实照片</w:t>
      </w:r>
    </w:p>
    <w:p>
      <w:pPr>
        <w:pStyle w:val="ListBullet"/>
        <w:spacing w:after="80" w:line="324" w:lineRule="auto"/>
      </w:pPr>
      <w:r>
        <w:rPr>
          <w:rFonts w:ascii="微软雅黑" w:hAnsi="微软雅黑" w:eastAsia="微软雅黑"/>
          <w:sz w:val="20"/>
        </w:rPr>
        <w:t>- [ ] 未出现"上门康复服务""包治""根治""治愈率"等表述</w:t>
      </w:r>
    </w:p>
    <w:p>
      <w:pPr>
        <w:pStyle w:val="ListBullet"/>
        <w:spacing w:after="80" w:line="324" w:lineRule="auto"/>
      </w:pPr>
      <w:r>
        <w:rPr>
          <w:rFonts w:ascii="微软雅黑" w:hAnsi="微软雅黑" w:eastAsia="微软雅黑"/>
          <w:sz w:val="20"/>
        </w:rPr>
        <w:t>- [ ] 品牌 logo 未放大到抢眼位置</w:t>
      </w:r>
    </w:p>
    <w:p>
      <w:pPr>
        <w:pStyle w:val="ListBullet"/>
        <w:spacing w:after="80" w:line="324" w:lineRule="auto"/>
      </w:pPr>
      <w:r>
        <w:rPr>
          <w:rFonts w:ascii="微软雅黑" w:hAnsi="微软雅黑" w:eastAsia="微软雅黑"/>
          <w:sz w:val="20"/>
        </w:rPr>
        <w:t>- [ ] 全文未出现具体承诺性效果表述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