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168EC">
      <w:pPr>
        <w:pStyle w:val="3"/>
        <w:rPr>
          <w:color w:val="auto"/>
        </w:rPr>
      </w:pPr>
    </w:p>
    <w:p w14:paraId="4BA2CEC2">
      <w:pPr>
        <w:adjustRightInd w:val="0"/>
        <w:snapToGrid w:val="0"/>
        <w:spacing w:line="348" w:lineRule="auto"/>
        <w:rPr>
          <w:rFonts w:ascii="宋体" w:hAnsi="宋体" w:cs="宋体"/>
          <w:b/>
          <w:bCs/>
          <w:color w:val="auto"/>
          <w:sz w:val="24"/>
          <w:szCs w:val="24"/>
        </w:rPr>
      </w:pPr>
    </w:p>
    <w:p w14:paraId="3E0E62F2">
      <w:pPr>
        <w:adjustRightInd w:val="0"/>
        <w:snapToGrid w:val="0"/>
        <w:spacing w:line="348" w:lineRule="auto"/>
        <w:ind w:firstLine="482" w:firstLineChars="200"/>
        <w:rPr>
          <w:rFonts w:ascii="宋体" w:hAnsi="宋体" w:cs="宋体"/>
          <w:b/>
          <w:bCs/>
          <w:color w:val="auto"/>
          <w:sz w:val="24"/>
          <w:szCs w:val="24"/>
        </w:rPr>
      </w:pPr>
    </w:p>
    <w:p w14:paraId="199A3D72">
      <w:pPr>
        <w:adjustRightInd w:val="0"/>
        <w:snapToGrid w:val="0"/>
        <w:spacing w:line="348" w:lineRule="auto"/>
        <w:jc w:val="center"/>
        <w:rPr>
          <w:rFonts w:ascii="宋体" w:hAnsi="宋体"/>
          <w:b/>
          <w:bCs/>
          <w:color w:val="auto"/>
          <w:sz w:val="48"/>
          <w:szCs w:val="48"/>
        </w:rPr>
      </w:pPr>
      <w:r>
        <w:rPr>
          <w:rFonts w:hint="eastAsia" w:ascii="宋体" w:hAnsi="宋体"/>
          <w:b/>
          <w:bCs/>
          <w:color w:val="auto"/>
          <w:sz w:val="48"/>
          <w:szCs w:val="48"/>
        </w:rPr>
        <w:t>居家康复项目</w:t>
      </w:r>
    </w:p>
    <w:p w14:paraId="26BCE11E">
      <w:pPr>
        <w:adjustRightInd w:val="0"/>
        <w:snapToGrid w:val="0"/>
        <w:spacing w:line="348" w:lineRule="auto"/>
        <w:jc w:val="center"/>
        <w:rPr>
          <w:rFonts w:ascii="宋体" w:hAnsi="宋体" w:cs="宋体"/>
          <w:color w:val="auto"/>
          <w:sz w:val="44"/>
          <w:szCs w:val="44"/>
        </w:rPr>
      </w:pPr>
      <w:r>
        <w:rPr>
          <w:rFonts w:hint="eastAsia" w:ascii="宋体" w:hAnsi="宋体"/>
          <w:b/>
          <w:bCs/>
          <w:color w:val="auto"/>
          <w:sz w:val="48"/>
          <w:szCs w:val="48"/>
        </w:rPr>
        <w:t>代理协议</w:t>
      </w:r>
    </w:p>
    <w:p w14:paraId="1C960225">
      <w:pPr>
        <w:adjustRightInd w:val="0"/>
        <w:snapToGrid w:val="0"/>
        <w:spacing w:line="348" w:lineRule="auto"/>
        <w:ind w:firstLine="480" w:firstLineChars="200"/>
        <w:rPr>
          <w:rFonts w:ascii="宋体" w:hAnsi="宋体" w:cs="宋体"/>
          <w:color w:val="auto"/>
          <w:sz w:val="24"/>
          <w:szCs w:val="24"/>
        </w:rPr>
      </w:pPr>
    </w:p>
    <w:p w14:paraId="49105EDE">
      <w:pPr>
        <w:adjustRightInd w:val="0"/>
        <w:snapToGrid w:val="0"/>
        <w:spacing w:line="348" w:lineRule="auto"/>
        <w:rPr>
          <w:rFonts w:ascii="宋体" w:hAnsi="宋体" w:cs="宋体"/>
          <w:color w:val="auto"/>
          <w:sz w:val="24"/>
          <w:szCs w:val="24"/>
        </w:rPr>
      </w:pPr>
    </w:p>
    <w:p w14:paraId="7F42CB16">
      <w:pPr>
        <w:adjustRightInd w:val="0"/>
        <w:snapToGrid w:val="0"/>
        <w:spacing w:line="348" w:lineRule="auto"/>
        <w:rPr>
          <w:rFonts w:ascii="宋体" w:hAnsi="宋体" w:cs="宋体"/>
          <w:color w:val="auto"/>
          <w:sz w:val="21"/>
          <w:szCs w:val="21"/>
        </w:rPr>
      </w:pPr>
    </w:p>
    <w:p w14:paraId="20C97938">
      <w:pPr>
        <w:adjustRightInd w:val="0"/>
        <w:snapToGrid w:val="0"/>
        <w:spacing w:line="348" w:lineRule="auto"/>
        <w:rPr>
          <w:rFonts w:ascii="宋体" w:hAnsi="宋体" w:cs="宋体"/>
          <w:color w:val="auto"/>
          <w:sz w:val="21"/>
          <w:szCs w:val="21"/>
        </w:rPr>
      </w:pPr>
    </w:p>
    <w:p w14:paraId="4607E779">
      <w:pPr>
        <w:adjustRightInd w:val="0"/>
        <w:snapToGrid w:val="0"/>
        <w:spacing w:line="348" w:lineRule="auto"/>
        <w:rPr>
          <w:rFonts w:ascii="宋体" w:hAnsi="宋体" w:cs="宋体"/>
          <w:color w:val="auto"/>
          <w:sz w:val="21"/>
          <w:szCs w:val="21"/>
        </w:rPr>
      </w:pPr>
    </w:p>
    <w:p w14:paraId="0DC18F37">
      <w:pPr>
        <w:adjustRightInd w:val="0"/>
        <w:snapToGrid w:val="0"/>
        <w:spacing w:line="348" w:lineRule="auto"/>
        <w:rPr>
          <w:rFonts w:ascii="宋体" w:hAnsi="宋体" w:cs="宋体"/>
          <w:color w:val="auto"/>
          <w:sz w:val="21"/>
          <w:szCs w:val="21"/>
        </w:rPr>
      </w:pPr>
    </w:p>
    <w:p w14:paraId="20BD10B0">
      <w:pPr>
        <w:adjustRightInd w:val="0"/>
        <w:snapToGrid w:val="0"/>
        <w:spacing w:line="348" w:lineRule="auto"/>
        <w:rPr>
          <w:rFonts w:ascii="宋体" w:hAnsi="宋体" w:cs="宋体"/>
          <w:color w:val="auto"/>
          <w:sz w:val="21"/>
          <w:szCs w:val="21"/>
        </w:rPr>
      </w:pPr>
    </w:p>
    <w:p w14:paraId="5B61BCB4">
      <w:pPr>
        <w:adjustRightInd w:val="0"/>
        <w:snapToGrid w:val="0"/>
        <w:spacing w:line="348" w:lineRule="auto"/>
        <w:rPr>
          <w:rFonts w:ascii="宋体" w:hAnsi="宋体" w:cs="宋体"/>
          <w:color w:val="auto"/>
          <w:sz w:val="21"/>
          <w:szCs w:val="21"/>
        </w:rPr>
      </w:pPr>
    </w:p>
    <w:p w14:paraId="50766C63">
      <w:pPr>
        <w:adjustRightInd w:val="0"/>
        <w:snapToGrid w:val="0"/>
        <w:spacing w:line="480" w:lineRule="auto"/>
        <w:ind w:firstLine="4410" w:firstLineChars="2100"/>
        <w:rPr>
          <w:rFonts w:ascii="宋体" w:hAnsi="宋体" w:cs="宋体"/>
          <w:color w:val="auto"/>
          <w:sz w:val="21"/>
          <w:szCs w:val="21"/>
        </w:rPr>
      </w:pPr>
      <w:r>
        <w:rPr>
          <w:rFonts w:hint="eastAsia" w:ascii="宋体" w:hAnsi="宋体" w:cs="宋体"/>
          <w:color w:val="auto"/>
          <w:sz w:val="21"/>
          <w:szCs w:val="21"/>
        </w:rPr>
        <w:t>日期：</w:t>
      </w:r>
      <w:r>
        <w:rPr>
          <w:rFonts w:hint="eastAsia" w:ascii="宋体" w:hAnsi="宋体" w:cs="宋体"/>
          <w:color w:val="auto"/>
          <w:sz w:val="21"/>
          <w:szCs w:val="21"/>
          <w:u w:val="single"/>
        </w:rPr>
        <w:t xml:space="preserve"> 202</w:t>
      </w:r>
      <w:r>
        <w:rPr>
          <w:rFonts w:hint="eastAsia" w:ascii="宋体" w:hAnsi="宋体" w:cs="宋体"/>
          <w:color w:val="auto"/>
          <w:sz w:val="21"/>
          <w:szCs w:val="21"/>
          <w:u w:val="single"/>
          <w:lang w:val="en-US" w:eastAsia="zh-CN"/>
        </w:rPr>
        <w:t>6</w:t>
      </w:r>
      <w:r>
        <w:rPr>
          <w:rFonts w:hint="eastAsia" w:ascii="宋体" w:hAnsi="宋体" w:cs="宋体"/>
          <w:color w:val="auto"/>
          <w:sz w:val="21"/>
          <w:szCs w:val="21"/>
          <w:u w:val="single"/>
        </w:rPr>
        <w:t xml:space="preserve"> </w:t>
      </w:r>
      <w:r>
        <w:rPr>
          <w:rFonts w:hint="eastAsia" w:ascii="宋体" w:hAnsi="宋体" w:cs="宋体"/>
          <w:color w:val="auto"/>
          <w:sz w:val="21"/>
          <w:szCs w:val="21"/>
        </w:rPr>
        <w:t>年</w:t>
      </w:r>
      <w:r>
        <w:rPr>
          <w:rFonts w:hint="eastAsia" w:ascii="宋体" w:hAnsi="宋体" w:cs="宋体"/>
          <w:color w:val="auto"/>
          <w:sz w:val="21"/>
          <w:szCs w:val="21"/>
          <w:u w:val="single"/>
        </w:rPr>
        <w:t xml:space="preserve"> </w:t>
      </w:r>
      <w:r>
        <w:rPr>
          <w:rFonts w:hint="eastAsia" w:ascii="宋体" w:hAnsi="宋体" w:cs="宋体"/>
          <w:color w:val="auto"/>
          <w:sz w:val="21"/>
          <w:szCs w:val="21"/>
          <w:u w:val="single"/>
          <w:lang w:val="en-US" w:eastAsia="zh-CN"/>
        </w:rPr>
        <w:t>03</w:t>
      </w:r>
      <w:r>
        <w:rPr>
          <w:rFonts w:hint="eastAsia" w:ascii="宋体" w:hAnsi="宋体" w:cs="宋体"/>
          <w:color w:val="auto"/>
          <w:sz w:val="21"/>
          <w:szCs w:val="21"/>
          <w:u w:val="single"/>
        </w:rPr>
        <w:t xml:space="preserve"> </w:t>
      </w:r>
      <w:r>
        <w:rPr>
          <w:rFonts w:hint="eastAsia" w:ascii="宋体" w:hAnsi="宋体" w:cs="宋体"/>
          <w:color w:val="auto"/>
          <w:sz w:val="21"/>
          <w:szCs w:val="21"/>
        </w:rPr>
        <w:t>月</w:t>
      </w:r>
      <w:r>
        <w:rPr>
          <w:rFonts w:hint="eastAsia" w:ascii="宋体" w:hAnsi="宋体" w:cs="宋体"/>
          <w:color w:val="auto"/>
          <w:sz w:val="21"/>
          <w:szCs w:val="21"/>
          <w:u w:val="single"/>
        </w:rPr>
        <w:t xml:space="preserve"> </w:t>
      </w:r>
      <w:r>
        <w:rPr>
          <w:rFonts w:hint="eastAsia" w:ascii="宋体" w:hAnsi="宋体" w:cs="宋体"/>
          <w:color w:val="auto"/>
          <w:sz w:val="21"/>
          <w:szCs w:val="21"/>
          <w:u w:val="single"/>
          <w:lang w:val="en-US" w:eastAsia="zh-CN"/>
        </w:rPr>
        <w:t>17</w:t>
      </w:r>
      <w:r>
        <w:rPr>
          <w:rFonts w:hint="eastAsia" w:ascii="宋体" w:hAnsi="宋体" w:cs="宋体"/>
          <w:color w:val="auto"/>
          <w:sz w:val="21"/>
          <w:szCs w:val="21"/>
          <w:u w:val="single"/>
        </w:rPr>
        <w:t xml:space="preserve">  </w:t>
      </w:r>
      <w:r>
        <w:rPr>
          <w:rFonts w:hint="eastAsia" w:ascii="宋体" w:hAnsi="宋体" w:cs="宋体"/>
          <w:color w:val="auto"/>
          <w:sz w:val="21"/>
          <w:szCs w:val="21"/>
        </w:rPr>
        <w:t>日</w:t>
      </w:r>
    </w:p>
    <w:p w14:paraId="6C1B615D">
      <w:pPr>
        <w:adjustRightInd w:val="0"/>
        <w:snapToGrid w:val="0"/>
        <w:spacing w:line="480" w:lineRule="auto"/>
        <w:ind w:firstLine="3150" w:firstLineChars="1500"/>
        <w:jc w:val="left"/>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rPr>
        <w:t xml:space="preserve">  </w:t>
      </w:r>
      <w:r>
        <w:rPr>
          <w:rFonts w:hint="eastAsia" w:ascii="宋体" w:hAnsi="宋体" w:cs="宋体"/>
          <w:color w:val="auto"/>
          <w:sz w:val="21"/>
          <w:szCs w:val="21"/>
          <w:lang w:val="en-US" w:eastAsia="zh-CN"/>
        </w:rPr>
        <w:t xml:space="preserve">      </w:t>
      </w:r>
      <w:r>
        <w:rPr>
          <w:rFonts w:hint="eastAsia" w:ascii="宋体" w:hAnsi="宋体" w:cs="宋体"/>
          <w:color w:val="auto"/>
          <w:sz w:val="21"/>
          <w:szCs w:val="21"/>
        </w:rPr>
        <w:t xml:space="preserve"> </w:t>
      </w:r>
      <w:r>
        <w:rPr>
          <w:rFonts w:hint="eastAsia" w:ascii="宋体" w:hAnsi="宋体" w:cs="宋体"/>
          <w:color w:val="auto"/>
          <w:sz w:val="21"/>
          <w:szCs w:val="21"/>
          <w:lang w:val="en-US" w:eastAsia="zh-CN"/>
        </w:rPr>
        <w:t xml:space="preserve">   </w:t>
      </w:r>
      <w:r>
        <w:rPr>
          <w:rFonts w:hint="eastAsia" w:ascii="宋体" w:hAnsi="宋体" w:cs="宋体"/>
          <w:color w:val="auto"/>
          <w:sz w:val="21"/>
          <w:szCs w:val="21"/>
        </w:rPr>
        <w:t>协议编号：</w:t>
      </w:r>
      <w:r>
        <w:rPr>
          <w:rFonts w:hint="eastAsia" w:ascii="宋体" w:hAnsi="宋体" w:cs="宋体"/>
          <w:color w:val="auto"/>
          <w:sz w:val="21"/>
          <w:szCs w:val="21"/>
          <w:lang w:val="en-US" w:eastAsia="zh-CN"/>
        </w:rPr>
        <w:t>YAKDLXY202603001</w:t>
      </w:r>
    </w:p>
    <w:p w14:paraId="7650174C">
      <w:pPr>
        <w:adjustRightInd w:val="0"/>
        <w:snapToGrid w:val="0"/>
        <w:spacing w:line="348" w:lineRule="auto"/>
        <w:ind w:firstLine="420" w:firstLineChars="200"/>
        <w:rPr>
          <w:rFonts w:ascii="宋体" w:hAnsi="宋体" w:cs="宋体"/>
          <w:color w:val="auto"/>
          <w:sz w:val="21"/>
          <w:szCs w:val="21"/>
        </w:rPr>
      </w:pPr>
      <w:r>
        <w:rPr>
          <w:rFonts w:hint="eastAsia" w:ascii="宋体" w:hAnsi="宋体" w:cs="宋体"/>
          <w:color w:val="auto"/>
          <w:sz w:val="21"/>
          <w:szCs w:val="21"/>
        </w:rPr>
        <mc:AlternateContent>
          <mc:Choice Requires="wps">
            <w:drawing>
              <wp:anchor distT="0" distB="0" distL="114300" distR="114300" simplePos="0" relativeHeight="251660288" behindDoc="0" locked="0" layoutInCell="1" allowOverlap="1">
                <wp:simplePos x="0" y="0"/>
                <wp:positionH relativeFrom="column">
                  <wp:posOffset>-54610</wp:posOffset>
                </wp:positionH>
                <wp:positionV relativeFrom="paragraph">
                  <wp:posOffset>42545</wp:posOffset>
                </wp:positionV>
                <wp:extent cx="5668645" cy="19685"/>
                <wp:effectExtent l="0" t="9525" r="8255" b="27940"/>
                <wp:wrapNone/>
                <wp:docPr id="1" name="直接连接符 1"/>
                <wp:cNvGraphicFramePr/>
                <a:graphic xmlns:a="http://schemas.openxmlformats.org/drawingml/2006/main">
                  <a:graphicData uri="http://schemas.microsoft.com/office/word/2010/wordprocessingShape">
                    <wps:wsp>
                      <wps:cNvCnPr/>
                      <wps:spPr>
                        <a:xfrm flipV="1">
                          <a:off x="0" y="0"/>
                          <a:ext cx="5668645" cy="19685"/>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3pt;margin-top:3.35pt;height:1.55pt;width:446.35pt;z-index:251660288;mso-width-relative:page;mso-height-relative:page;" filled="f" stroked="t" coordsize="21600,21600" o:gfxdata="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gkURNUAAAAGAQAADwAAAAAAAAABACAAAAAiAAAAZHJzL2Rvd25yZXYueG1sUEsBAhQA&#10;FAAAAAgAh07iQGqMYP71AQAA5wMAAA4AAAAAAAAAAQAgAAAAJAEAAGRycy9lMm9Eb2MueG1sUEsF&#10;BgAAAAAGAAYAWQEAAIsFAAAAAA==&#10;">
                <v:fill on="f" focussize="0,0"/>
                <v:stroke weight="1.5pt" color="#000000" joinstyle="round"/>
                <v:imagedata o:title=""/>
                <o:lock v:ext="edit" aspectratio="f"/>
              </v:line>
            </w:pict>
          </mc:Fallback>
        </mc:AlternateContent>
      </w: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352"/>
        <w:gridCol w:w="4170"/>
      </w:tblGrid>
      <w:tr w14:paraId="02D788D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06" w:hRule="atLeast"/>
        </w:trPr>
        <w:tc>
          <w:tcPr>
            <w:tcW w:w="4514" w:type="dxa"/>
            <w:tcBorders>
              <w:tl2br w:val="nil"/>
              <w:tr2bl w:val="nil"/>
            </w:tcBorders>
            <w:vAlign w:val="center"/>
          </w:tcPr>
          <w:p w14:paraId="20E75AF4">
            <w:pPr>
              <w:adjustRightInd w:val="0"/>
              <w:snapToGrid w:val="0"/>
              <w:jc w:val="left"/>
              <w:rPr>
                <w:rFonts w:ascii="宋体" w:hAnsi="宋体" w:cs="宋体"/>
                <w:color w:val="auto"/>
                <w:sz w:val="21"/>
                <w:szCs w:val="21"/>
              </w:rPr>
            </w:pPr>
            <w:r>
              <w:rPr>
                <w:rFonts w:hint="eastAsia" w:ascii="宋体" w:hAnsi="宋体" w:cs="宋体"/>
                <w:color w:val="auto"/>
                <w:sz w:val="21"/>
                <w:szCs w:val="21"/>
              </w:rPr>
              <w:t>甲方：广州圆爱康生物科技有限公司</w:t>
            </w:r>
          </w:p>
        </w:tc>
        <w:tc>
          <w:tcPr>
            <w:tcW w:w="4452" w:type="dxa"/>
            <w:tcBorders>
              <w:tl2br w:val="nil"/>
              <w:tr2bl w:val="nil"/>
            </w:tcBorders>
            <w:vAlign w:val="center"/>
          </w:tcPr>
          <w:p w14:paraId="2A7FEFBE">
            <w:pPr>
              <w:adjustRightInd w:val="0"/>
              <w:snapToGrid w:val="0"/>
              <w:rPr>
                <w:rFonts w:ascii="宋体" w:hAnsi="宋体" w:cs="宋体"/>
                <w:color w:val="auto"/>
                <w:sz w:val="21"/>
                <w:szCs w:val="21"/>
              </w:rPr>
            </w:pPr>
            <w:r>
              <w:rPr>
                <w:rFonts w:hint="eastAsia" w:ascii="宋体" w:hAnsi="宋体" w:cs="宋体"/>
                <w:color w:val="auto"/>
                <w:sz w:val="21"/>
                <w:szCs w:val="21"/>
              </w:rPr>
              <w:t>乙方：  公司</w:t>
            </w:r>
          </w:p>
        </w:tc>
      </w:tr>
      <w:tr w14:paraId="040BD34E">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536" w:hRule="atLeast"/>
        </w:trPr>
        <w:tc>
          <w:tcPr>
            <w:tcW w:w="4514" w:type="dxa"/>
            <w:tcBorders>
              <w:tl2br w:val="nil"/>
              <w:tr2bl w:val="nil"/>
            </w:tcBorders>
            <w:vAlign w:val="center"/>
          </w:tcPr>
          <w:p w14:paraId="16148F08">
            <w:pPr>
              <w:adjustRightInd w:val="0"/>
              <w:snapToGrid w:val="0"/>
              <w:rPr>
                <w:rFonts w:ascii="宋体" w:hAnsi="宋体" w:cs="宋体"/>
                <w:color w:val="auto"/>
                <w:sz w:val="21"/>
                <w:szCs w:val="21"/>
              </w:rPr>
            </w:pPr>
            <w:r>
              <w:rPr>
                <w:rFonts w:hint="eastAsia" w:ascii="宋体" w:hAnsi="宋体" w:cs="宋体"/>
                <w:color w:val="auto"/>
                <w:sz w:val="21"/>
                <w:szCs w:val="21"/>
              </w:rPr>
              <w:t>法定代表人：欧阳日红</w:t>
            </w:r>
          </w:p>
        </w:tc>
        <w:tc>
          <w:tcPr>
            <w:tcW w:w="4452" w:type="dxa"/>
            <w:tcBorders>
              <w:tl2br w:val="nil"/>
              <w:tr2bl w:val="nil"/>
            </w:tcBorders>
            <w:vAlign w:val="center"/>
          </w:tcPr>
          <w:p w14:paraId="3D1BFFE4">
            <w:pPr>
              <w:adjustRightInd w:val="0"/>
              <w:snapToGrid w:val="0"/>
              <w:rPr>
                <w:rFonts w:hint="default" w:ascii="宋体" w:hAnsi="宋体" w:eastAsia="宋体" w:cs="宋体"/>
                <w:color w:val="auto"/>
                <w:sz w:val="21"/>
                <w:szCs w:val="21"/>
                <w:lang w:val="en-US" w:eastAsia="zh-CN"/>
              </w:rPr>
            </w:pPr>
            <w:r>
              <w:rPr>
                <w:rFonts w:hint="eastAsia" w:ascii="宋体" w:hAnsi="宋体" w:cs="宋体"/>
                <w:color w:val="auto"/>
                <w:sz w:val="21"/>
                <w:szCs w:val="21"/>
              </w:rPr>
              <w:t>法定代表人：</w:t>
            </w:r>
          </w:p>
        </w:tc>
      </w:tr>
      <w:tr w14:paraId="5C75280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872" w:hRule="atLeast"/>
        </w:trPr>
        <w:tc>
          <w:tcPr>
            <w:tcW w:w="4514" w:type="dxa"/>
            <w:tcBorders>
              <w:tl2br w:val="nil"/>
              <w:tr2bl w:val="nil"/>
            </w:tcBorders>
            <w:vAlign w:val="center"/>
          </w:tcPr>
          <w:p w14:paraId="09D4D026">
            <w:pPr>
              <w:adjustRightInd w:val="0"/>
              <w:snapToGrid w:val="0"/>
              <w:rPr>
                <w:rFonts w:hint="default" w:ascii="宋体" w:hAnsi="宋体" w:eastAsia="宋体" w:cs="宋体"/>
                <w:color w:val="auto"/>
                <w:sz w:val="21"/>
                <w:szCs w:val="21"/>
                <w:lang w:val="en-US" w:eastAsia="zh-CN"/>
              </w:rPr>
            </w:pPr>
            <w:r>
              <w:rPr>
                <w:rFonts w:hint="eastAsia" w:ascii="宋体" w:hAnsi="宋体" w:cs="宋体"/>
                <w:color w:val="auto"/>
                <w:sz w:val="21"/>
                <w:szCs w:val="21"/>
              </w:rPr>
              <w:t>地址：广州市天河区凤凰街道工业区高普路 38号金发科技创新社区1栋7</w:t>
            </w:r>
            <w:r>
              <w:rPr>
                <w:rFonts w:hint="eastAsia" w:ascii="宋体" w:hAnsi="宋体" w:cs="宋体"/>
                <w:color w:val="auto"/>
                <w:sz w:val="21"/>
                <w:szCs w:val="21"/>
                <w:lang w:val="en-US" w:eastAsia="zh-CN"/>
              </w:rPr>
              <w:t>13</w:t>
            </w:r>
          </w:p>
        </w:tc>
        <w:tc>
          <w:tcPr>
            <w:tcW w:w="4452" w:type="dxa"/>
            <w:tcBorders>
              <w:tl2br w:val="nil"/>
              <w:tr2bl w:val="nil"/>
            </w:tcBorders>
            <w:vAlign w:val="center"/>
          </w:tcPr>
          <w:p w14:paraId="556C851A">
            <w:pPr>
              <w:adjustRightInd w:val="0"/>
              <w:snapToGrid w:val="0"/>
              <w:rPr>
                <w:rFonts w:ascii="宋体" w:hAnsi="宋体" w:cs="宋体"/>
                <w:color w:val="auto"/>
                <w:sz w:val="21"/>
                <w:szCs w:val="21"/>
              </w:rPr>
            </w:pPr>
            <w:r>
              <w:rPr>
                <w:rFonts w:hint="eastAsia" w:ascii="宋体" w:hAnsi="宋体" w:cs="宋体"/>
                <w:color w:val="auto"/>
                <w:sz w:val="21"/>
                <w:szCs w:val="21"/>
              </w:rPr>
              <w:t>地址：</w:t>
            </w:r>
          </w:p>
        </w:tc>
      </w:tr>
      <w:tr w14:paraId="2B0A2DE7">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36" w:hRule="atLeast"/>
        </w:trPr>
        <w:tc>
          <w:tcPr>
            <w:tcW w:w="4514" w:type="dxa"/>
            <w:tcBorders>
              <w:tl2br w:val="nil"/>
              <w:tr2bl w:val="nil"/>
            </w:tcBorders>
            <w:vAlign w:val="center"/>
          </w:tcPr>
          <w:p w14:paraId="56D06C86">
            <w:pPr>
              <w:adjustRightInd w:val="0"/>
              <w:snapToGrid w:val="0"/>
              <w:rPr>
                <w:rFonts w:hint="default" w:ascii="宋体" w:hAnsi="宋体" w:eastAsia="宋体" w:cs="宋体"/>
                <w:color w:val="auto"/>
                <w:sz w:val="21"/>
                <w:szCs w:val="21"/>
                <w:lang w:val="en-US" w:eastAsia="zh-CN"/>
              </w:rPr>
            </w:pPr>
            <w:r>
              <w:rPr>
                <w:rFonts w:hint="eastAsia" w:ascii="宋体" w:hAnsi="宋体" w:cs="宋体"/>
                <w:color w:val="auto"/>
                <w:sz w:val="21"/>
                <w:szCs w:val="21"/>
              </w:rPr>
              <w:t>授权委托人：</w:t>
            </w:r>
            <w:r>
              <w:rPr>
                <w:rFonts w:hint="eastAsia" w:ascii="宋体" w:hAnsi="宋体" w:cs="宋体"/>
                <w:color w:val="auto"/>
                <w:sz w:val="21"/>
                <w:szCs w:val="21"/>
                <w:lang w:val="en-US" w:eastAsia="zh-CN"/>
              </w:rPr>
              <w:t>杨桂兴</w:t>
            </w:r>
          </w:p>
        </w:tc>
        <w:tc>
          <w:tcPr>
            <w:tcW w:w="4452" w:type="dxa"/>
            <w:tcBorders>
              <w:tl2br w:val="nil"/>
              <w:tr2bl w:val="nil"/>
            </w:tcBorders>
            <w:vAlign w:val="center"/>
          </w:tcPr>
          <w:p w14:paraId="18F22389">
            <w:pPr>
              <w:adjustRightInd w:val="0"/>
              <w:snapToGrid w:val="0"/>
              <w:rPr>
                <w:rFonts w:ascii="宋体" w:hAnsi="宋体" w:cs="宋体"/>
                <w:color w:val="auto"/>
                <w:sz w:val="21"/>
                <w:szCs w:val="21"/>
              </w:rPr>
            </w:pPr>
            <w:r>
              <w:rPr>
                <w:rFonts w:hint="eastAsia" w:ascii="宋体" w:hAnsi="宋体" w:cs="宋体"/>
                <w:color w:val="auto"/>
                <w:sz w:val="21"/>
                <w:szCs w:val="21"/>
              </w:rPr>
              <w:t>授权委托人：</w:t>
            </w:r>
          </w:p>
        </w:tc>
      </w:tr>
      <w:tr w14:paraId="398809C8">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21" w:hRule="atLeast"/>
        </w:trPr>
        <w:tc>
          <w:tcPr>
            <w:tcW w:w="4514" w:type="dxa"/>
            <w:tcBorders>
              <w:tl2br w:val="nil"/>
              <w:tr2bl w:val="nil"/>
            </w:tcBorders>
            <w:vAlign w:val="center"/>
          </w:tcPr>
          <w:p w14:paraId="75E274A8">
            <w:pPr>
              <w:adjustRightInd w:val="0"/>
              <w:snapToGrid w:val="0"/>
              <w:rPr>
                <w:rFonts w:ascii="宋体" w:hAnsi="宋体" w:cs="宋体"/>
                <w:color w:val="auto"/>
                <w:sz w:val="21"/>
                <w:szCs w:val="21"/>
              </w:rPr>
            </w:pPr>
            <w:r>
              <w:rPr>
                <w:rFonts w:hint="eastAsia" w:ascii="宋体" w:hAnsi="宋体" w:cs="宋体"/>
                <w:color w:val="auto"/>
                <w:sz w:val="21"/>
                <w:szCs w:val="21"/>
              </w:rPr>
              <w:t>联系电话： 13926083056</w:t>
            </w:r>
          </w:p>
        </w:tc>
        <w:tc>
          <w:tcPr>
            <w:tcW w:w="4452" w:type="dxa"/>
            <w:tcBorders>
              <w:tl2br w:val="nil"/>
              <w:tr2bl w:val="nil"/>
            </w:tcBorders>
            <w:vAlign w:val="center"/>
          </w:tcPr>
          <w:p w14:paraId="3CB945C2">
            <w:pPr>
              <w:adjustRightInd w:val="0"/>
              <w:snapToGrid w:val="0"/>
              <w:rPr>
                <w:rFonts w:ascii="宋体" w:hAnsi="宋体" w:cs="宋体"/>
                <w:color w:val="auto"/>
                <w:sz w:val="21"/>
                <w:szCs w:val="21"/>
              </w:rPr>
            </w:pPr>
            <w:r>
              <w:rPr>
                <w:rFonts w:hint="eastAsia" w:ascii="宋体" w:hAnsi="宋体" w:cs="宋体"/>
                <w:color w:val="auto"/>
                <w:sz w:val="21"/>
                <w:szCs w:val="21"/>
              </w:rPr>
              <w:t>联系电话：</w:t>
            </w:r>
          </w:p>
        </w:tc>
      </w:tr>
      <w:tr w14:paraId="7EFA8F89">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716" w:hRule="atLeast"/>
        </w:trPr>
        <w:tc>
          <w:tcPr>
            <w:tcW w:w="4514" w:type="dxa"/>
            <w:tcBorders>
              <w:tl2br w:val="nil"/>
              <w:tr2bl w:val="nil"/>
            </w:tcBorders>
            <w:vAlign w:val="center"/>
          </w:tcPr>
          <w:p w14:paraId="5FAC435E">
            <w:pPr>
              <w:adjustRightInd w:val="0"/>
              <w:snapToGrid w:val="0"/>
              <w:rPr>
                <w:rFonts w:ascii="宋体" w:hAnsi="宋体" w:cs="宋体"/>
                <w:color w:val="auto"/>
                <w:sz w:val="21"/>
                <w:szCs w:val="21"/>
              </w:rPr>
            </w:pPr>
            <w:r>
              <w:rPr>
                <w:rFonts w:hint="eastAsia" w:ascii="宋体" w:hAnsi="宋体" w:cs="宋体"/>
                <w:color w:val="auto"/>
                <w:sz w:val="21"/>
                <w:szCs w:val="21"/>
              </w:rPr>
              <w:t>联系邮箱：yak@yuanaikangss.com</w:t>
            </w:r>
          </w:p>
        </w:tc>
        <w:tc>
          <w:tcPr>
            <w:tcW w:w="4452" w:type="dxa"/>
            <w:tcBorders>
              <w:tl2br w:val="nil"/>
              <w:tr2bl w:val="nil"/>
            </w:tcBorders>
            <w:vAlign w:val="center"/>
          </w:tcPr>
          <w:p w14:paraId="7E2CEC05">
            <w:pPr>
              <w:adjustRightInd w:val="0"/>
              <w:snapToGrid w:val="0"/>
              <w:rPr>
                <w:rFonts w:ascii="宋体" w:hAnsi="宋体" w:cs="宋体"/>
                <w:color w:val="auto"/>
                <w:sz w:val="21"/>
                <w:szCs w:val="21"/>
              </w:rPr>
            </w:pPr>
            <w:r>
              <w:rPr>
                <w:rFonts w:hint="eastAsia" w:ascii="宋体" w:hAnsi="宋体" w:cs="宋体"/>
                <w:color w:val="auto"/>
                <w:sz w:val="21"/>
                <w:szCs w:val="21"/>
              </w:rPr>
              <w:t>联系邮箱：</w:t>
            </w:r>
          </w:p>
        </w:tc>
      </w:tr>
    </w:tbl>
    <w:p w14:paraId="53C4505E">
      <w:pPr>
        <w:spacing w:line="360" w:lineRule="auto"/>
        <w:rPr>
          <w:rFonts w:ascii="宋体" w:hAnsi="宋体" w:cs="宋体"/>
          <w:color w:val="auto"/>
          <w:sz w:val="21"/>
          <w:szCs w:val="21"/>
        </w:rPr>
      </w:pPr>
    </w:p>
    <w:p w14:paraId="28FBC82D">
      <w:pPr>
        <w:spacing w:line="360" w:lineRule="auto"/>
        <w:rPr>
          <w:rFonts w:ascii="宋体" w:hAnsi="宋体" w:cs="宋体"/>
          <w:color w:val="auto"/>
          <w:sz w:val="21"/>
          <w:szCs w:val="21"/>
        </w:rPr>
      </w:pPr>
    </w:p>
    <w:p w14:paraId="4A269CF1">
      <w:pPr>
        <w:spacing w:line="360" w:lineRule="auto"/>
        <w:rPr>
          <w:rFonts w:ascii="宋体" w:hAnsi="宋体" w:cs="宋体"/>
          <w:color w:val="auto"/>
          <w:sz w:val="21"/>
          <w:szCs w:val="21"/>
        </w:rPr>
      </w:pPr>
    </w:p>
    <w:p w14:paraId="25AFD691">
      <w:pPr>
        <w:spacing w:line="360" w:lineRule="auto"/>
        <w:rPr>
          <w:rFonts w:ascii="宋体" w:hAnsi="宋体" w:cs="宋体"/>
          <w:color w:val="auto"/>
          <w:sz w:val="21"/>
          <w:szCs w:val="21"/>
        </w:rPr>
      </w:pPr>
    </w:p>
    <w:p w14:paraId="51952492">
      <w:pPr>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甲、</w:t>
      </w:r>
      <w:r>
        <w:rPr>
          <w:rFonts w:hint="eastAsia" w:ascii="宋体" w:hAnsi="宋体" w:cs="宋体"/>
          <w:color w:val="auto"/>
          <w:kern w:val="0"/>
          <w:sz w:val="21"/>
          <w:szCs w:val="21"/>
          <w:shd w:val="clear" w:color="auto" w:fill="FFFFFF"/>
          <w:lang w:bidi="ar"/>
        </w:rPr>
        <w:t>乙双方秉承长期合作、共同发展的理念，以“资源共享，优势互补”为原则，依据《中华人民共和国民法典》及经过友好协商，达成以下关于合作销售甲方产品的协议，共同遵守。</w:t>
      </w:r>
      <w:r>
        <w:rPr>
          <w:rFonts w:hint="eastAsia" w:ascii="宋体" w:hAnsi="宋体" w:cs="宋体"/>
          <w:color w:val="auto"/>
          <w:sz w:val="21"/>
          <w:szCs w:val="21"/>
        </w:rPr>
        <w:t>具体条款如下：</w:t>
      </w:r>
    </w:p>
    <w:p w14:paraId="7391207A">
      <w:pPr>
        <w:spacing w:line="360" w:lineRule="auto"/>
        <w:ind w:firstLine="420" w:firstLineChars="200"/>
        <w:rPr>
          <w:rFonts w:ascii="宋体" w:hAnsi="宋体" w:cs="宋体"/>
          <w:color w:val="auto"/>
          <w:sz w:val="21"/>
          <w:szCs w:val="21"/>
        </w:rPr>
      </w:pPr>
    </w:p>
    <w:p w14:paraId="6E1B69C9">
      <w:pPr>
        <w:numPr>
          <w:ilvl w:val="0"/>
          <w:numId w:val="1"/>
        </w:numPr>
        <w:adjustRightInd w:val="0"/>
        <w:snapToGrid w:val="0"/>
        <w:spacing w:line="360" w:lineRule="auto"/>
        <w:ind w:left="0"/>
        <w:rPr>
          <w:rFonts w:ascii="宋体" w:hAnsi="宋体" w:cs="宋体"/>
          <w:b/>
          <w:color w:val="auto"/>
          <w:sz w:val="21"/>
          <w:szCs w:val="21"/>
        </w:rPr>
      </w:pPr>
      <w:r>
        <w:rPr>
          <w:rFonts w:hint="eastAsia" w:ascii="宋体" w:hAnsi="宋体" w:cs="宋体"/>
          <w:b/>
          <w:color w:val="auto"/>
          <w:sz w:val="21"/>
          <w:szCs w:val="21"/>
        </w:rPr>
        <w:t>代理授权内容</w:t>
      </w:r>
    </w:p>
    <w:p w14:paraId="25471265">
      <w:pPr>
        <w:tabs>
          <w:tab w:val="left" w:pos="0"/>
        </w:tabs>
        <w:adjustRightInd w:val="0"/>
        <w:snapToGrid w:val="0"/>
        <w:spacing w:line="360" w:lineRule="auto"/>
        <w:ind w:left="480" w:firstLine="420" w:firstLineChars="200"/>
        <w:rPr>
          <w:rFonts w:ascii="宋体" w:hAnsi="宋体" w:cs="宋体"/>
          <w:color w:val="auto"/>
          <w:kern w:val="0"/>
          <w:sz w:val="21"/>
          <w:szCs w:val="21"/>
          <w:u w:val="single"/>
          <w:shd w:val="clear" w:color="auto" w:fill="FFFFFF"/>
          <w:lang w:bidi="ar"/>
        </w:rPr>
      </w:pPr>
      <w:r>
        <w:rPr>
          <w:rFonts w:hint="eastAsia" w:ascii="宋体" w:hAnsi="宋体" w:cs="宋体"/>
          <w:color w:val="auto"/>
          <w:kern w:val="0"/>
          <w:sz w:val="21"/>
          <w:szCs w:val="21"/>
          <w:shd w:val="clear" w:color="auto" w:fill="FFFFFF"/>
          <w:lang w:bidi="ar"/>
        </w:rPr>
        <w:t>甲方特此授权乙方在</w:t>
      </w:r>
      <w:r>
        <w:rPr>
          <w:rFonts w:hint="eastAsia" w:ascii="宋体" w:hAnsi="宋体" w:cs="宋体"/>
          <w:color w:val="auto"/>
          <w:kern w:val="0"/>
          <w:sz w:val="21"/>
          <w:szCs w:val="21"/>
          <w:u w:val="single"/>
          <w:shd w:val="clear" w:color="auto" w:fill="FFFFFF"/>
          <w:lang w:bidi="ar"/>
        </w:rPr>
        <w:t xml:space="preserve">  </w:t>
      </w:r>
      <w:r>
        <w:rPr>
          <w:rFonts w:hint="eastAsia" w:ascii="宋体" w:hAnsi="宋体" w:cs="宋体"/>
          <w:color w:val="auto"/>
          <w:kern w:val="0"/>
          <w:sz w:val="21"/>
          <w:szCs w:val="21"/>
          <w:u w:val="single"/>
          <w:shd w:val="clear" w:color="auto" w:fill="FFFFFF"/>
          <w:lang w:val="en-US" w:eastAsia="zh-CN" w:bidi="ar"/>
        </w:rPr>
        <w:t xml:space="preserve">            </w:t>
      </w:r>
      <w:r>
        <w:rPr>
          <w:rFonts w:hint="eastAsia" w:ascii="宋体" w:hAnsi="宋体" w:cs="宋体"/>
          <w:color w:val="auto"/>
          <w:kern w:val="0"/>
          <w:sz w:val="21"/>
          <w:szCs w:val="21"/>
          <w:u w:val="single"/>
          <w:shd w:val="clear" w:color="auto" w:fill="FFFFFF"/>
          <w:lang w:bidi="ar"/>
        </w:rPr>
        <w:t xml:space="preserve">  </w:t>
      </w:r>
      <w:r>
        <w:rPr>
          <w:rFonts w:hint="eastAsia" w:ascii="宋体" w:hAnsi="宋体" w:cs="宋体"/>
          <w:color w:val="auto"/>
          <w:kern w:val="0"/>
          <w:sz w:val="21"/>
          <w:szCs w:val="21"/>
          <w:shd w:val="clear" w:color="auto" w:fill="FFFFFF"/>
          <w:lang w:bidi="ar"/>
        </w:rPr>
        <w:t>范围内，作为“圆爱康—智慧家康”居家医疗综合运营服务项目的代理商，进行市场推广、产品销售等工作，授权期限自</w:t>
      </w:r>
      <w:r>
        <w:rPr>
          <w:rFonts w:hint="eastAsia" w:ascii="宋体" w:hAnsi="宋体" w:cs="宋体"/>
          <w:color w:val="auto"/>
          <w:kern w:val="0"/>
          <w:sz w:val="21"/>
          <w:szCs w:val="21"/>
          <w:u w:val="single"/>
          <w:shd w:val="clear" w:color="auto" w:fill="FFFFFF"/>
          <w:lang w:bidi="ar"/>
        </w:rPr>
        <w:t>202</w:t>
      </w:r>
      <w:r>
        <w:rPr>
          <w:rFonts w:hint="eastAsia" w:ascii="宋体" w:hAnsi="宋体" w:cs="宋体"/>
          <w:color w:val="auto"/>
          <w:kern w:val="0"/>
          <w:sz w:val="21"/>
          <w:szCs w:val="21"/>
          <w:u w:val="single"/>
          <w:shd w:val="clear" w:color="auto" w:fill="FFFFFF"/>
          <w:lang w:val="en-US" w:eastAsia="zh-CN" w:bidi="ar"/>
        </w:rPr>
        <w:t>6</w:t>
      </w:r>
      <w:r>
        <w:rPr>
          <w:rFonts w:hint="eastAsia" w:ascii="宋体" w:hAnsi="宋体" w:cs="宋体"/>
          <w:color w:val="auto"/>
          <w:kern w:val="0"/>
          <w:sz w:val="21"/>
          <w:szCs w:val="21"/>
          <w:u w:val="single"/>
          <w:shd w:val="clear" w:color="auto" w:fill="FFFFFF"/>
          <w:lang w:bidi="ar"/>
        </w:rPr>
        <w:t>年</w:t>
      </w:r>
      <w:r>
        <w:rPr>
          <w:rFonts w:hint="eastAsia" w:ascii="宋体" w:hAnsi="宋体" w:cs="宋体"/>
          <w:color w:val="auto"/>
          <w:kern w:val="0"/>
          <w:sz w:val="21"/>
          <w:szCs w:val="21"/>
          <w:u w:val="single"/>
          <w:shd w:val="clear" w:color="auto" w:fill="FFFFFF"/>
          <w:lang w:val="en-US" w:eastAsia="zh-CN" w:bidi="ar"/>
        </w:rPr>
        <w:t>03</w:t>
      </w:r>
      <w:r>
        <w:rPr>
          <w:rFonts w:hint="eastAsia" w:ascii="宋体" w:hAnsi="宋体" w:cs="宋体"/>
          <w:color w:val="auto"/>
          <w:kern w:val="0"/>
          <w:sz w:val="21"/>
          <w:szCs w:val="21"/>
          <w:u w:val="single"/>
          <w:shd w:val="clear" w:color="auto" w:fill="FFFFFF"/>
          <w:lang w:bidi="ar"/>
        </w:rPr>
        <w:t xml:space="preserve">月 </w:t>
      </w:r>
      <w:r>
        <w:rPr>
          <w:rFonts w:hint="eastAsia" w:ascii="宋体" w:hAnsi="宋体" w:cs="宋体"/>
          <w:color w:val="auto"/>
          <w:kern w:val="0"/>
          <w:sz w:val="21"/>
          <w:szCs w:val="21"/>
          <w:u w:val="single"/>
          <w:shd w:val="clear" w:color="auto" w:fill="FFFFFF"/>
          <w:lang w:val="en-US" w:eastAsia="zh-CN" w:bidi="ar"/>
        </w:rPr>
        <w:t>17</w:t>
      </w:r>
      <w:r>
        <w:rPr>
          <w:rFonts w:hint="eastAsia" w:ascii="宋体" w:hAnsi="宋体" w:cs="宋体"/>
          <w:color w:val="auto"/>
          <w:kern w:val="0"/>
          <w:sz w:val="21"/>
          <w:szCs w:val="21"/>
          <w:u w:val="single"/>
          <w:shd w:val="clear" w:color="auto" w:fill="FFFFFF"/>
          <w:lang w:bidi="ar"/>
        </w:rPr>
        <w:t xml:space="preserve"> 日至202</w:t>
      </w:r>
      <w:r>
        <w:rPr>
          <w:rFonts w:hint="eastAsia" w:ascii="宋体" w:hAnsi="宋体" w:cs="宋体"/>
          <w:color w:val="auto"/>
          <w:kern w:val="0"/>
          <w:sz w:val="21"/>
          <w:szCs w:val="21"/>
          <w:u w:val="single"/>
          <w:shd w:val="clear" w:color="auto" w:fill="FFFFFF"/>
          <w:lang w:val="en-US" w:eastAsia="zh-CN" w:bidi="ar"/>
        </w:rPr>
        <w:t>9</w:t>
      </w:r>
      <w:r>
        <w:rPr>
          <w:rFonts w:hint="eastAsia" w:ascii="宋体" w:hAnsi="宋体" w:cs="宋体"/>
          <w:color w:val="auto"/>
          <w:kern w:val="0"/>
          <w:sz w:val="21"/>
          <w:szCs w:val="21"/>
          <w:u w:val="single"/>
          <w:shd w:val="clear" w:color="auto" w:fill="FFFFFF"/>
          <w:lang w:bidi="ar"/>
        </w:rPr>
        <w:t>年</w:t>
      </w:r>
      <w:r>
        <w:rPr>
          <w:rFonts w:hint="eastAsia" w:ascii="宋体" w:hAnsi="宋体" w:cs="宋体"/>
          <w:color w:val="auto"/>
          <w:kern w:val="0"/>
          <w:sz w:val="21"/>
          <w:szCs w:val="21"/>
          <w:u w:val="single"/>
          <w:shd w:val="clear" w:color="auto" w:fill="FFFFFF"/>
          <w:lang w:val="en-US" w:eastAsia="zh-CN" w:bidi="ar"/>
        </w:rPr>
        <w:t>03</w:t>
      </w:r>
      <w:r>
        <w:rPr>
          <w:rFonts w:hint="eastAsia" w:ascii="宋体" w:hAnsi="宋体" w:cs="宋体"/>
          <w:color w:val="auto"/>
          <w:kern w:val="0"/>
          <w:sz w:val="21"/>
          <w:szCs w:val="21"/>
          <w:u w:val="single"/>
          <w:shd w:val="clear" w:color="auto" w:fill="FFFFFF"/>
          <w:lang w:bidi="ar"/>
        </w:rPr>
        <w:t xml:space="preserve">月 </w:t>
      </w:r>
      <w:r>
        <w:rPr>
          <w:rFonts w:hint="eastAsia" w:ascii="宋体" w:hAnsi="宋体" w:cs="宋体"/>
          <w:color w:val="auto"/>
          <w:kern w:val="0"/>
          <w:sz w:val="21"/>
          <w:szCs w:val="21"/>
          <w:u w:val="single"/>
          <w:shd w:val="clear" w:color="auto" w:fill="FFFFFF"/>
          <w:lang w:val="en-US" w:eastAsia="zh-CN" w:bidi="ar"/>
        </w:rPr>
        <w:t>16</w:t>
      </w:r>
      <w:r>
        <w:rPr>
          <w:rFonts w:hint="eastAsia" w:ascii="宋体" w:hAnsi="宋体" w:cs="宋体"/>
          <w:color w:val="auto"/>
          <w:kern w:val="0"/>
          <w:sz w:val="21"/>
          <w:szCs w:val="21"/>
          <w:u w:val="single"/>
          <w:shd w:val="clear" w:color="auto" w:fill="FFFFFF"/>
          <w:lang w:bidi="ar"/>
        </w:rPr>
        <w:t xml:space="preserve"> 日止。</w:t>
      </w:r>
    </w:p>
    <w:p w14:paraId="15427577">
      <w:pPr>
        <w:tabs>
          <w:tab w:val="left" w:pos="0"/>
        </w:tabs>
        <w:adjustRightInd w:val="0"/>
        <w:snapToGrid w:val="0"/>
        <w:spacing w:line="360" w:lineRule="auto"/>
        <w:ind w:left="480" w:firstLine="420" w:firstLineChars="200"/>
        <w:rPr>
          <w:rFonts w:ascii="宋体" w:hAnsi="宋体" w:cs="宋体"/>
          <w:color w:val="auto"/>
          <w:kern w:val="0"/>
          <w:sz w:val="21"/>
          <w:szCs w:val="21"/>
          <w:shd w:val="clear" w:color="auto" w:fill="FFFFFF"/>
          <w:lang w:bidi="ar"/>
        </w:rPr>
      </w:pPr>
    </w:p>
    <w:p w14:paraId="3A62EC27">
      <w:pPr>
        <w:tabs>
          <w:tab w:val="left" w:pos="0"/>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1.合作具体内容：</w:t>
      </w:r>
    </w:p>
    <w:p w14:paraId="292C3672">
      <w:pPr>
        <w:tabs>
          <w:tab w:val="left" w:pos="0"/>
        </w:tabs>
        <w:adjustRightInd w:val="0"/>
        <w:snapToGrid w:val="0"/>
        <w:spacing w:line="360" w:lineRule="auto"/>
        <w:ind w:left="480"/>
        <w:rPr>
          <w:rFonts w:ascii="宋体" w:hAnsi="宋体" w:cs="宋体"/>
          <w:color w:val="auto"/>
          <w:sz w:val="21"/>
          <w:szCs w:val="21"/>
        </w:rPr>
      </w:pPr>
      <w:r>
        <w:rPr>
          <w:rFonts w:hint="eastAsia" w:ascii="宋体" w:hAnsi="宋体" w:cs="宋体"/>
          <w:color w:val="auto"/>
          <w:sz w:val="21"/>
          <w:szCs w:val="21"/>
        </w:rPr>
        <w:t>“</w:t>
      </w:r>
      <w:r>
        <w:rPr>
          <w:rFonts w:hint="eastAsia" w:ascii="宋体" w:hAnsi="宋体" w:cs="宋体"/>
          <w:color w:val="auto"/>
          <w:kern w:val="0"/>
          <w:sz w:val="21"/>
          <w:szCs w:val="21"/>
          <w:shd w:val="clear" w:color="auto" w:fill="FFFFFF"/>
          <w:lang w:bidi="ar"/>
        </w:rPr>
        <w:t>圆爱康—智慧家康”居家医疗综合运营服务</w:t>
      </w:r>
      <w:r>
        <w:rPr>
          <w:rFonts w:hint="eastAsia" w:ascii="宋体" w:hAnsi="宋体" w:cs="宋体"/>
          <w:color w:val="auto"/>
          <w:sz w:val="21"/>
          <w:szCs w:val="21"/>
        </w:rPr>
        <w:t>产品的服务项目包括且不限于（服务项目会根据平台的发展不断增加）：</w:t>
      </w:r>
    </w:p>
    <w:p w14:paraId="70094828">
      <w:pPr>
        <w:tabs>
          <w:tab w:val="left" w:pos="0"/>
        </w:tabs>
        <w:adjustRightInd w:val="0"/>
        <w:snapToGrid w:val="0"/>
        <w:spacing w:line="360" w:lineRule="auto"/>
        <w:rPr>
          <w:rFonts w:ascii="宋体" w:hAnsi="宋体" w:cs="宋体"/>
          <w:color w:val="auto"/>
          <w:sz w:val="21"/>
          <w:szCs w:val="21"/>
        </w:rPr>
      </w:pPr>
    </w:p>
    <w:p w14:paraId="7A7BE97B">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产后/盆底居家康复项目</w:t>
      </w:r>
    </w:p>
    <w:p w14:paraId="77A601C5">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产后/盆底居家康复项目</w:t>
      </w:r>
    </w:p>
    <w:p w14:paraId="020864E2">
      <w:pPr>
        <w:numPr>
          <w:ilvl w:val="0"/>
          <w:numId w:val="2"/>
        </w:numPr>
        <w:tabs>
          <w:tab w:val="left" w:pos="0"/>
        </w:tabs>
        <w:adjustRightInd w:val="0"/>
        <w:snapToGrid w:val="0"/>
        <w:spacing w:line="360" w:lineRule="auto"/>
        <w:ind w:firstLine="420" w:firstLineChars="200"/>
        <w:rPr>
          <w:rFonts w:ascii="宋体" w:hAnsi="宋体" w:cs="宋体"/>
          <w:sz w:val="21"/>
          <w:szCs w:val="21"/>
        </w:rPr>
      </w:pPr>
      <w:r>
        <w:rPr>
          <w:rFonts w:hint="eastAsia" w:ascii="宋体" w:hAnsi="宋体" w:cs="宋体"/>
          <w:sz w:val="21"/>
          <w:szCs w:val="21"/>
        </w:rPr>
        <w:t>居家骨科关节术后康复</w:t>
      </w:r>
    </w:p>
    <w:p w14:paraId="03D85E88">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缺血预适应训练</w:t>
      </w:r>
    </w:p>
    <w:p w14:paraId="3AFCDD23">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远程居家胎心监测</w:t>
      </w:r>
    </w:p>
    <w:p w14:paraId="060BFA81">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体表黄疸监测及蓝光治疗</w:t>
      </w:r>
    </w:p>
    <w:p w14:paraId="59E86E68">
      <w:pPr>
        <w:numPr>
          <w:ilvl w:val="0"/>
          <w:numId w:val="2"/>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食管癌筛查</w:t>
      </w:r>
    </w:p>
    <w:p w14:paraId="7387A58F">
      <w:pPr>
        <w:numPr>
          <w:numId w:val="0"/>
        </w:numPr>
        <w:tabs>
          <w:tab w:val="left" w:pos="0"/>
        </w:tabs>
        <w:adjustRightInd w:val="0"/>
        <w:snapToGrid w:val="0"/>
        <w:spacing w:line="360" w:lineRule="auto"/>
        <w:ind w:leftChars="200"/>
        <w:rPr>
          <w:rFonts w:ascii="宋体" w:hAnsi="宋体" w:cs="宋体"/>
          <w:color w:val="auto"/>
          <w:sz w:val="21"/>
          <w:szCs w:val="21"/>
        </w:rPr>
      </w:pPr>
      <w:r>
        <w:rPr>
          <w:rFonts w:hint="eastAsia" w:ascii="宋体" w:hAnsi="宋体" w:cs="宋体"/>
          <w:color w:val="auto"/>
          <w:sz w:val="21"/>
          <w:szCs w:val="21"/>
        </w:rPr>
        <w:t xml:space="preserve">    </w:t>
      </w:r>
    </w:p>
    <w:p w14:paraId="2C704C95">
      <w:pPr>
        <w:numPr>
          <w:ilvl w:val="0"/>
          <w:numId w:val="3"/>
        </w:numPr>
        <w:tabs>
          <w:tab w:val="left" w:pos="0"/>
          <w:tab w:val="clear" w:pos="312"/>
        </w:tabs>
        <w:adjustRightInd w:val="0"/>
        <w:snapToGrid w:val="0"/>
        <w:spacing w:line="360" w:lineRule="auto"/>
        <w:ind w:firstLine="0" w:firstLineChars="0"/>
        <w:rPr>
          <w:rFonts w:hint="eastAsia" w:ascii="宋体" w:hAnsi="宋体" w:cs="宋体"/>
          <w:color w:val="auto"/>
          <w:sz w:val="21"/>
          <w:szCs w:val="21"/>
        </w:rPr>
      </w:pPr>
      <w:r>
        <w:rPr>
          <w:rFonts w:hint="eastAsia" w:ascii="宋体" w:hAnsi="宋体" w:cs="宋体"/>
          <w:color w:val="auto"/>
          <w:sz w:val="21"/>
          <w:szCs w:val="21"/>
        </w:rPr>
        <w:t>居家医疗综合运营服务项目的商业合同条款详见下文:</w:t>
      </w:r>
    </w:p>
    <w:p w14:paraId="13410205">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60" w:lineRule="auto"/>
        <w:ind w:left="560" w:leftChars="200"/>
        <w:textAlignment w:val="auto"/>
        <w:rPr>
          <w:rFonts w:hint="eastAsia" w:ascii="宋体" w:hAnsi="宋体" w:cs="宋体"/>
          <w:color w:val="auto"/>
          <w:sz w:val="21"/>
          <w:szCs w:val="21"/>
        </w:rPr>
      </w:pPr>
      <w:r>
        <w:rPr>
          <w:rFonts w:hint="eastAsia" w:ascii="宋体" w:hAnsi="宋体" w:cs="宋体"/>
          <w:color w:val="auto"/>
          <w:sz w:val="21"/>
          <w:szCs w:val="21"/>
        </w:rPr>
        <w:t>2.1市场策略:乙方在甲方指定授权区域内可开展销售活动。</w:t>
      </w:r>
    </w:p>
    <w:p w14:paraId="3C9DC14A">
      <w:pPr>
        <w:keepNext w:val="0"/>
        <w:keepLines w:val="0"/>
        <w:pageBreakBefore w:val="0"/>
        <w:widowControl w:val="0"/>
        <w:numPr>
          <w:ilvl w:val="0"/>
          <w:numId w:val="0"/>
        </w:numPr>
        <w:tabs>
          <w:tab w:val="left" w:pos="0"/>
        </w:tabs>
        <w:kinsoku/>
        <w:wordWrap/>
        <w:overflowPunct/>
        <w:topLinePunct w:val="0"/>
        <w:autoSpaceDE/>
        <w:autoSpaceDN/>
        <w:bidi w:val="0"/>
        <w:adjustRightInd w:val="0"/>
        <w:snapToGrid w:val="0"/>
        <w:spacing w:line="360" w:lineRule="auto"/>
        <w:ind w:left="560" w:leftChars="200"/>
        <w:textAlignment w:val="auto"/>
        <w:rPr>
          <w:rFonts w:hint="eastAsia" w:ascii="宋体" w:hAnsi="宋体" w:cs="宋体"/>
          <w:color w:val="auto"/>
          <w:sz w:val="21"/>
          <w:szCs w:val="21"/>
        </w:rPr>
      </w:pPr>
      <w:r>
        <w:rPr>
          <w:rFonts w:hint="eastAsia" w:ascii="宋体" w:hAnsi="宋体" w:cs="宋体"/>
          <w:color w:val="auto"/>
          <w:sz w:val="21"/>
          <w:szCs w:val="21"/>
        </w:rPr>
        <w:t>2.2设备租赁与更换规则:居家康复项目物联网设备由甲方统一投放，设备的维修、更换、消毒、物流等均由甲方负责，客户缴纳押金使用。客户疗程结束后，联系客服将所用设备寄回甲方，甲方检查无损后，原付款途径退回押金。</w:t>
      </w:r>
    </w:p>
    <w:p w14:paraId="18DD61DF">
      <w:pPr>
        <w:numPr>
          <w:ilvl w:val="0"/>
          <w:numId w:val="3"/>
        </w:numPr>
        <w:tabs>
          <w:tab w:val="left" w:pos="0"/>
          <w:tab w:val="clear" w:pos="312"/>
        </w:tabs>
        <w:adjustRightInd w:val="0"/>
        <w:snapToGrid w:val="0"/>
        <w:spacing w:line="360" w:lineRule="auto"/>
        <w:ind w:firstLine="0" w:firstLineChars="0"/>
        <w:rPr>
          <w:rFonts w:hint="eastAsia" w:ascii="宋体" w:hAnsi="宋体" w:cs="宋体"/>
          <w:color w:val="auto"/>
          <w:sz w:val="21"/>
          <w:szCs w:val="21"/>
        </w:rPr>
      </w:pPr>
      <w:r>
        <w:rPr>
          <w:rFonts w:hint="eastAsia" w:ascii="宋体" w:hAnsi="宋体" w:cs="宋体"/>
          <w:color w:val="auto"/>
          <w:sz w:val="21"/>
          <w:szCs w:val="21"/>
          <w:lang w:val="en-US" w:eastAsia="zh-CN"/>
        </w:rPr>
        <w:t>合作项目细则</w:t>
      </w:r>
    </w:p>
    <w:p w14:paraId="3D789C71">
      <w:pPr>
        <w:tabs>
          <w:tab w:val="left" w:pos="0"/>
        </w:tabs>
        <w:adjustRightInd w:val="0"/>
        <w:snapToGrid w:val="0"/>
        <w:spacing w:line="360" w:lineRule="auto"/>
        <w:ind w:firstLine="422" w:firstLineChars="200"/>
        <w:rPr>
          <w:rFonts w:ascii="宋体" w:hAnsi="宋体" w:cs="宋体"/>
          <w:b/>
          <w:bCs/>
          <w:color w:val="auto"/>
          <w:sz w:val="21"/>
          <w:szCs w:val="21"/>
        </w:rPr>
      </w:pPr>
      <w:r>
        <w:rPr>
          <w:rFonts w:hint="eastAsia" w:ascii="宋体" w:hAnsi="宋体" w:cs="宋体"/>
          <w:b/>
          <w:bCs/>
          <w:color w:val="auto"/>
          <w:sz w:val="21"/>
          <w:szCs w:val="21"/>
        </w:rPr>
        <w:t>居家康复项⽬：</w:t>
      </w:r>
      <w:r>
        <w:rPr>
          <w:rFonts w:hint="eastAsia" w:ascii="宋体" w:hAnsi="宋体" w:cs="宋体"/>
          <w:b w:val="0"/>
          <w:bCs w:val="0"/>
          <w:color w:val="auto"/>
          <w:sz w:val="21"/>
          <w:szCs w:val="21"/>
        </w:rPr>
        <w:t>双方合作结算所依据的服务项目及价格，均以甲方招标文件约定的项目与</w:t>
      </w:r>
      <w:r>
        <w:rPr>
          <w:rFonts w:hint="eastAsia" w:ascii="宋体" w:hAnsi="宋体" w:cs="宋体"/>
          <w:b w:val="0"/>
          <w:bCs w:val="0"/>
          <w:color w:val="auto"/>
          <w:sz w:val="21"/>
          <w:szCs w:val="21"/>
          <w:lang w:val="en-US" w:eastAsia="zh-CN"/>
        </w:rPr>
        <w:t>协同服务费</w:t>
      </w:r>
      <w:r>
        <w:rPr>
          <w:rFonts w:hint="eastAsia" w:ascii="宋体" w:hAnsi="宋体" w:cs="宋体"/>
          <w:b w:val="0"/>
          <w:bCs w:val="0"/>
          <w:color w:val="auto"/>
          <w:sz w:val="21"/>
          <w:szCs w:val="21"/>
        </w:rPr>
        <w:t>价格为准。</w:t>
      </w:r>
      <w:r>
        <w:rPr>
          <w:rFonts w:hint="eastAsia" w:ascii="宋体" w:hAnsi="宋体" w:cs="宋体"/>
          <w:color w:val="auto"/>
          <w:sz w:val="21"/>
          <w:szCs w:val="21"/>
        </w:rPr>
        <w:t>（价格见附件</w:t>
      </w:r>
      <w:r>
        <w:rPr>
          <w:rFonts w:hint="eastAsia" w:ascii="宋体" w:hAnsi="宋体" w:cs="宋体"/>
          <w:color w:val="auto"/>
          <w:sz w:val="21"/>
          <w:szCs w:val="21"/>
          <w:lang w:val="en-US" w:eastAsia="zh-CN"/>
        </w:rPr>
        <w:t>一</w:t>
      </w:r>
      <w:r>
        <w:rPr>
          <w:rFonts w:hint="eastAsia" w:ascii="宋体" w:hAnsi="宋体" w:cs="宋体"/>
          <w:color w:val="auto"/>
          <w:sz w:val="21"/>
          <w:szCs w:val="21"/>
        </w:rPr>
        <w:t>）</w:t>
      </w:r>
    </w:p>
    <w:p w14:paraId="116DE9D9">
      <w:pPr>
        <w:tabs>
          <w:tab w:val="left" w:pos="0"/>
        </w:tabs>
        <w:adjustRightInd w:val="0"/>
        <w:snapToGrid w:val="0"/>
        <w:spacing w:line="360" w:lineRule="auto"/>
        <w:ind w:firstLine="422" w:firstLineChars="200"/>
        <w:rPr>
          <w:rFonts w:ascii="宋体" w:hAnsi="宋体" w:cs="宋体"/>
          <w:b/>
          <w:bCs/>
          <w:color w:val="auto"/>
          <w:sz w:val="21"/>
          <w:szCs w:val="21"/>
        </w:rPr>
      </w:pPr>
      <w:r>
        <w:rPr>
          <w:rFonts w:hint="eastAsia" w:ascii="宋体" w:hAnsi="宋体" w:cs="宋体"/>
          <w:b/>
          <w:bCs/>
          <w:color w:val="auto"/>
          <w:sz w:val="21"/>
          <w:szCs w:val="21"/>
        </w:rPr>
        <w:t>设备费用组合：</w:t>
      </w:r>
    </w:p>
    <w:p w14:paraId="6497EF23">
      <w:pPr>
        <w:numPr>
          <w:ilvl w:val="0"/>
          <w:numId w:val="4"/>
        </w:numPr>
        <w:tabs>
          <w:tab w:val="left" w:pos="0"/>
        </w:tabs>
        <w:adjustRightInd w:val="0"/>
        <w:snapToGrid w:val="0"/>
        <w:spacing w:line="360" w:lineRule="auto"/>
        <w:ind w:firstLine="422" w:firstLineChars="200"/>
        <w:rPr>
          <w:rFonts w:ascii="宋体" w:hAnsi="宋体" w:cs="宋体"/>
          <w:color w:val="auto"/>
          <w:sz w:val="21"/>
          <w:szCs w:val="21"/>
        </w:rPr>
      </w:pPr>
      <w:r>
        <w:rPr>
          <w:rFonts w:hint="eastAsia" w:ascii="宋体" w:hAnsi="宋体" w:cs="宋体"/>
          <w:b/>
          <w:bCs/>
          <w:color w:val="auto"/>
          <w:sz w:val="21"/>
          <w:szCs w:val="21"/>
        </w:rPr>
        <w:t>服务费：</w:t>
      </w:r>
      <w:r>
        <w:rPr>
          <w:rFonts w:hint="eastAsia" w:ascii="宋体" w:hAnsi="宋体" w:cs="宋体"/>
          <w:color w:val="auto"/>
          <w:sz w:val="21"/>
          <w:szCs w:val="21"/>
        </w:rPr>
        <w:t>根据服务次数和服务项目不同收取各项目服务费，按照每次开通项目服务进行相关收费；</w:t>
      </w:r>
      <w:r>
        <w:rPr>
          <w:rFonts w:hint="eastAsia" w:ascii="宋体" w:hAnsi="宋体" w:cs="宋体"/>
          <w:color w:val="auto"/>
          <w:sz w:val="21"/>
          <w:szCs w:val="21"/>
          <w:highlight w:val="none"/>
        </w:rPr>
        <w:t>所有项目服务费</w:t>
      </w:r>
      <w:r>
        <w:rPr>
          <w:rFonts w:hint="eastAsia" w:ascii="宋体" w:hAnsi="宋体" w:cs="宋体"/>
          <w:color w:val="auto"/>
          <w:sz w:val="21"/>
          <w:szCs w:val="21"/>
          <w:highlight w:val="none"/>
          <w:lang w:val="en-US" w:eastAsia="zh-CN"/>
        </w:rPr>
        <w:t>及押金</w:t>
      </w:r>
      <w:r>
        <w:rPr>
          <w:rFonts w:hint="eastAsia" w:ascii="宋体" w:hAnsi="宋体" w:cs="宋体"/>
          <w:color w:val="auto"/>
          <w:sz w:val="21"/>
          <w:szCs w:val="21"/>
          <w:highlight w:val="none"/>
        </w:rPr>
        <w:t>均需通过甲方指定平台收取，并统一进入甲方账户。</w:t>
      </w:r>
    </w:p>
    <w:p w14:paraId="6DB5151E">
      <w:pPr>
        <w:numPr>
          <w:ilvl w:val="0"/>
          <w:numId w:val="4"/>
        </w:numPr>
        <w:tabs>
          <w:tab w:val="left" w:pos="0"/>
        </w:tabs>
        <w:adjustRightInd w:val="0"/>
        <w:snapToGrid w:val="0"/>
        <w:spacing w:line="360" w:lineRule="auto"/>
        <w:ind w:firstLine="422" w:firstLineChars="200"/>
        <w:rPr>
          <w:rFonts w:ascii="宋体" w:hAnsi="宋体" w:cs="宋体"/>
          <w:color w:val="auto"/>
          <w:sz w:val="21"/>
          <w:szCs w:val="21"/>
        </w:rPr>
      </w:pPr>
      <w:r>
        <w:rPr>
          <w:rFonts w:hint="eastAsia" w:ascii="宋体" w:hAnsi="宋体" w:cs="宋体"/>
          <w:b/>
          <w:bCs/>
          <w:color w:val="auto"/>
          <w:sz w:val="21"/>
          <w:szCs w:val="21"/>
        </w:rPr>
        <w:t>设备押金：</w:t>
      </w:r>
      <w:r>
        <w:rPr>
          <w:rFonts w:hint="eastAsia" w:ascii="宋体" w:hAnsi="宋体" w:cs="宋体"/>
          <w:b/>
          <w:bCs/>
          <w:color w:val="auto"/>
          <w:sz w:val="21"/>
          <w:szCs w:val="21"/>
          <w:u w:val="single"/>
          <w:lang w:val="en-US" w:eastAsia="zh-CN"/>
        </w:rPr>
        <w:t>2</w:t>
      </w:r>
      <w:r>
        <w:rPr>
          <w:rFonts w:hint="eastAsia" w:ascii="宋体" w:hAnsi="宋体" w:cs="宋体"/>
          <w:b/>
          <w:bCs/>
          <w:color w:val="auto"/>
          <w:sz w:val="21"/>
          <w:szCs w:val="21"/>
          <w:u w:val="single"/>
        </w:rPr>
        <w:t>000</w:t>
      </w:r>
      <w:r>
        <w:rPr>
          <w:rFonts w:hint="eastAsia" w:ascii="宋体" w:hAnsi="宋体" w:cs="宋体"/>
          <w:color w:val="auto"/>
          <w:sz w:val="21"/>
          <w:szCs w:val="21"/>
        </w:rPr>
        <w:t>元（由使用者支付</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甲方收取</w:t>
      </w:r>
      <w:r>
        <w:rPr>
          <w:rFonts w:hint="eastAsia" w:ascii="宋体" w:hAnsi="宋体" w:cs="宋体"/>
          <w:color w:val="auto"/>
          <w:sz w:val="21"/>
          <w:szCs w:val="21"/>
        </w:rPr>
        <w:t>）。</w:t>
      </w:r>
    </w:p>
    <w:p w14:paraId="7FEC64B2">
      <w:pPr>
        <w:numPr>
          <w:ilvl w:val="0"/>
          <w:numId w:val="4"/>
        </w:numPr>
        <w:tabs>
          <w:tab w:val="left" w:pos="0"/>
        </w:tabs>
        <w:adjustRightInd w:val="0"/>
        <w:snapToGrid w:val="0"/>
        <w:spacing w:line="360" w:lineRule="auto"/>
        <w:ind w:firstLine="422" w:firstLineChars="200"/>
        <w:rPr>
          <w:rFonts w:ascii="宋体" w:hAnsi="宋体" w:cs="宋体"/>
          <w:color w:val="auto"/>
          <w:sz w:val="21"/>
          <w:szCs w:val="21"/>
        </w:rPr>
      </w:pPr>
      <w:r>
        <w:rPr>
          <w:rFonts w:hint="eastAsia" w:ascii="宋体" w:hAnsi="宋体" w:cs="宋体"/>
          <w:b/>
          <w:bCs/>
          <w:color w:val="auto"/>
          <w:sz w:val="21"/>
          <w:szCs w:val="21"/>
        </w:rPr>
        <w:t>设备由甲方在授权区域内投放租赁流转，物权归属甲方</w:t>
      </w:r>
      <w:r>
        <w:rPr>
          <w:rFonts w:hint="eastAsia" w:ascii="宋体" w:hAnsi="宋体" w:cs="宋体"/>
          <w:color w:val="auto"/>
          <w:sz w:val="21"/>
          <w:szCs w:val="21"/>
        </w:rPr>
        <w:t>。</w:t>
      </w:r>
    </w:p>
    <w:p w14:paraId="46313D95">
      <w:pPr>
        <w:numPr>
          <w:ilvl w:val="0"/>
          <w:numId w:val="1"/>
        </w:numPr>
        <w:adjustRightInd w:val="0"/>
        <w:snapToGrid w:val="0"/>
        <w:spacing w:line="360" w:lineRule="auto"/>
        <w:ind w:left="0"/>
        <w:rPr>
          <w:rFonts w:ascii="宋体" w:hAnsi="宋体" w:cs="宋体"/>
          <w:b/>
          <w:color w:val="auto"/>
          <w:sz w:val="21"/>
          <w:szCs w:val="21"/>
        </w:rPr>
      </w:pPr>
      <w:r>
        <w:rPr>
          <w:rFonts w:hint="eastAsia" w:ascii="宋体" w:hAnsi="宋体" w:cs="宋体"/>
          <w:b/>
          <w:color w:val="auto"/>
          <w:sz w:val="21"/>
          <w:szCs w:val="21"/>
        </w:rPr>
        <w:t>甲方的权利和义务</w:t>
      </w:r>
    </w:p>
    <w:p w14:paraId="7F64C9A4">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1.甲方拥有产品的所有知识产权以及对应更新、升级权利。</w:t>
      </w:r>
    </w:p>
    <w:p w14:paraId="1C07A97F">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2.甲方拥有产品市场销售政策的制定以及修改权。</w:t>
      </w:r>
    </w:p>
    <w:p w14:paraId="6B183211">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3.甲方有权监督乙方在产品推广和媒体中使用甲方商标的情况，发现乙方存在不当使用甲方商标的，甲方有权向乙方追究侵权责任同时有权解除本协议。</w:t>
      </w:r>
    </w:p>
    <w:p w14:paraId="0CA99A05">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4.为了维护市场秩序，乙方应当执行甲方制定的相关渠道价格政策。</w:t>
      </w:r>
    </w:p>
    <w:p w14:paraId="12530F77">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5.乙方已取得的有效授权区域内，甲方不得向第三人授权。甲方应及时响应乙方用户报备需求，并运用备案系统加以管理，切实保护乙方的市场开发权利，不得重复授权、交叉授权。</w:t>
      </w:r>
    </w:p>
    <w:p w14:paraId="7109AE14">
      <w:pPr>
        <w:tabs>
          <w:tab w:val="left" w:pos="370"/>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6.甲方应提供给乙方已授权产品的有关资质。</w:t>
      </w:r>
    </w:p>
    <w:p w14:paraId="1235AFDA">
      <w:pPr>
        <w:tabs>
          <w:tab w:val="left" w:pos="370"/>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7.甲方有义务协助乙方组织或参与相应区域的学术活动，费用由乙方自担。</w:t>
      </w:r>
    </w:p>
    <w:p w14:paraId="6FD4AB09">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8.甲方向乙方提供售前、技术、售后等支持。</w:t>
      </w:r>
    </w:p>
    <w:p w14:paraId="5C7FA2CB">
      <w:pPr>
        <w:numPr>
          <w:ilvl w:val="0"/>
          <w:numId w:val="5"/>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甲方全力协助代理商完成样板点建设。</w:t>
      </w:r>
    </w:p>
    <w:p w14:paraId="337D45AB">
      <w:pPr>
        <w:numPr>
          <w:ilvl w:val="0"/>
          <w:numId w:val="5"/>
        </w:numPr>
        <w:tabs>
          <w:tab w:val="left" w:pos="0"/>
        </w:tabs>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公司将提供落地服务，提供开拓市场具体细则文件、科室会、培训会、客户分析及推进服务。</w:t>
      </w:r>
    </w:p>
    <w:p w14:paraId="44FA794F">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9. 甲方向乙方提供“六师共管”的服务体系支持，对乙方的线下督导进行全面的辅导，让乙方的线下督导具备独立开展线下上量业务能力。</w:t>
      </w:r>
    </w:p>
    <w:p w14:paraId="4AFF9068">
      <w:pPr>
        <w:tabs>
          <w:tab w:val="left" w:pos="0"/>
          <w:tab w:val="left" w:pos="376"/>
        </w:tabs>
        <w:adjustRightInd w:val="0"/>
        <w:snapToGrid w:val="0"/>
        <w:spacing w:line="360" w:lineRule="auto"/>
        <w:rPr>
          <w:rFonts w:hint="eastAsia" w:ascii="宋体" w:hAnsi="宋体" w:cs="宋体"/>
          <w:color w:val="auto"/>
          <w:sz w:val="21"/>
          <w:szCs w:val="21"/>
        </w:rPr>
      </w:pPr>
      <w:r>
        <w:rPr>
          <w:rFonts w:hint="eastAsia" w:ascii="宋体" w:hAnsi="宋体" w:cs="宋体"/>
          <w:color w:val="auto"/>
          <w:sz w:val="21"/>
          <w:szCs w:val="21"/>
        </w:rPr>
        <w:t>10. 甲方有权在乙方违约或乙方不全面履行本协议的任一约定时要求乙方履行协议，如乙方不能履约，甲方有权暂停或解除本协议，停止合作关系，并向乙方索赔。</w:t>
      </w:r>
    </w:p>
    <w:p w14:paraId="22431057">
      <w:pPr>
        <w:numPr>
          <w:ilvl w:val="0"/>
          <w:numId w:val="1"/>
        </w:numPr>
        <w:adjustRightInd w:val="0"/>
        <w:snapToGrid w:val="0"/>
        <w:spacing w:line="360" w:lineRule="auto"/>
        <w:ind w:left="0"/>
        <w:rPr>
          <w:rFonts w:ascii="宋体" w:hAnsi="宋体" w:cs="宋体"/>
          <w:b/>
          <w:color w:val="auto"/>
          <w:sz w:val="21"/>
          <w:szCs w:val="21"/>
        </w:rPr>
      </w:pPr>
      <w:r>
        <w:rPr>
          <w:rFonts w:hint="eastAsia" w:ascii="宋体" w:hAnsi="宋体" w:cs="宋体"/>
          <w:b/>
          <w:color w:val="auto"/>
          <w:sz w:val="21"/>
          <w:szCs w:val="21"/>
        </w:rPr>
        <w:t>乙方的权利和义务</w:t>
      </w:r>
    </w:p>
    <w:p w14:paraId="17CA87A3">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1 乙方有权以</w:t>
      </w:r>
      <w:r>
        <w:rPr>
          <w:rFonts w:hint="eastAsia" w:ascii="宋体" w:hAnsi="宋体" w:cs="宋体"/>
          <w:color w:val="auto"/>
          <w:kern w:val="0"/>
          <w:sz w:val="21"/>
          <w:szCs w:val="21"/>
          <w:shd w:val="clear" w:color="auto" w:fill="FFFFFF"/>
          <w:lang w:bidi="ar"/>
        </w:rPr>
        <w:t>“圆爱康—智慧家康”居家医疗综合运营服务运营商</w:t>
      </w:r>
      <w:r>
        <w:rPr>
          <w:rFonts w:hint="eastAsia" w:ascii="宋体" w:hAnsi="宋体" w:cs="宋体"/>
          <w:color w:val="auto"/>
          <w:sz w:val="21"/>
          <w:szCs w:val="21"/>
        </w:rPr>
        <w:t>的名义从事本协议所约定的产品的营销宣传、售后服务和销售活动，除此之外，未经甲方同意，乙方不得以甲方代理商名义从事其他商业活动。</w:t>
      </w:r>
    </w:p>
    <w:p w14:paraId="72CFB138">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lang w:val="en-US" w:eastAsia="zh-CN"/>
        </w:rPr>
        <w:t>2</w:t>
      </w:r>
      <w:r>
        <w:rPr>
          <w:rFonts w:hint="eastAsia" w:ascii="宋体" w:hAnsi="宋体" w:cs="宋体"/>
          <w:color w:val="auto"/>
          <w:sz w:val="21"/>
          <w:szCs w:val="21"/>
        </w:rPr>
        <w:t>. 乙方在代理期内享有甲方授权产品的品牌使用宣传共享、学术推广成果共享、授权区域内商机信息共享、发展并管理下级经销商、享受甲方特殊销售政策的权利。</w:t>
      </w:r>
    </w:p>
    <w:p w14:paraId="3A4A4826">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lang w:val="en-US" w:eastAsia="zh-CN"/>
        </w:rPr>
        <w:t>3</w:t>
      </w:r>
      <w:r>
        <w:rPr>
          <w:rFonts w:hint="eastAsia" w:ascii="宋体" w:hAnsi="宋体" w:cs="宋体"/>
          <w:color w:val="auto"/>
          <w:sz w:val="21"/>
          <w:szCs w:val="21"/>
        </w:rPr>
        <w:t>. 乙方或者其实际控制人不得生产、代理、经营与本协议产品有竞争的其他品牌产品，如有违反，属于根本违约，甲方有权解除本协议，并要求乙方支付</w:t>
      </w:r>
      <w:r>
        <w:rPr>
          <w:rFonts w:hint="eastAsia" w:ascii="宋体" w:hAnsi="宋体" w:cs="宋体"/>
          <w:color w:val="auto"/>
          <w:sz w:val="21"/>
          <w:szCs w:val="21"/>
          <w:u w:val="single"/>
        </w:rPr>
        <w:t xml:space="preserve">    贰拾   </w:t>
      </w:r>
      <w:r>
        <w:rPr>
          <w:rFonts w:hint="eastAsia" w:ascii="宋体" w:hAnsi="宋体" w:cs="宋体"/>
          <w:color w:val="auto"/>
          <w:sz w:val="21"/>
          <w:szCs w:val="21"/>
        </w:rPr>
        <w:t>万元违约金。</w:t>
      </w:r>
    </w:p>
    <w:p w14:paraId="56251DE1">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lang w:val="en-US" w:eastAsia="zh-CN"/>
        </w:rPr>
        <w:t>4</w:t>
      </w:r>
      <w:r>
        <w:rPr>
          <w:rFonts w:hint="eastAsia" w:ascii="宋体" w:hAnsi="宋体" w:cs="宋体"/>
          <w:color w:val="auto"/>
          <w:sz w:val="21"/>
          <w:szCs w:val="21"/>
        </w:rPr>
        <w:t>.乙方向甲方提交《营业执照》《二类医疗器械经营备案》复印件及变更后的相关证件，并承诺合法取得相关经营资质，有权销售本协议约定产品。</w:t>
      </w:r>
    </w:p>
    <w:p w14:paraId="5A8BAE5D">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lang w:val="en-US" w:eastAsia="zh-CN"/>
        </w:rPr>
        <w:t>5</w:t>
      </w:r>
      <w:r>
        <w:rPr>
          <w:rFonts w:hint="eastAsia" w:ascii="宋体" w:hAnsi="宋体" w:cs="宋体"/>
          <w:color w:val="auto"/>
          <w:sz w:val="21"/>
          <w:szCs w:val="21"/>
        </w:rPr>
        <w:t>. 乙方应协助甲方进行产品的宣传推广工作，并积极参加和配合甲方开展的业务培训活动。</w:t>
      </w:r>
    </w:p>
    <w:p w14:paraId="2CA49FA6">
      <w:pPr>
        <w:tabs>
          <w:tab w:val="left" w:pos="376"/>
        </w:tabs>
        <w:adjustRightInd w:val="0"/>
        <w:snapToGrid w:val="0"/>
        <w:spacing w:line="360" w:lineRule="auto"/>
        <w:rPr>
          <w:rFonts w:ascii="宋体" w:hAnsi="宋体" w:cs="宋体"/>
          <w:color w:val="auto"/>
          <w:sz w:val="21"/>
          <w:szCs w:val="21"/>
        </w:rPr>
      </w:pPr>
      <w:r>
        <w:rPr>
          <w:rFonts w:hint="eastAsia" w:ascii="宋体" w:hAnsi="宋体" w:cs="宋体"/>
          <w:color w:val="auto"/>
          <w:sz w:val="21"/>
          <w:szCs w:val="21"/>
          <w:lang w:val="en-US" w:eastAsia="zh-CN"/>
        </w:rPr>
        <w:t>6.</w:t>
      </w:r>
      <w:r>
        <w:rPr>
          <w:rFonts w:hint="eastAsia" w:ascii="宋体" w:hAnsi="宋体" w:cs="宋体"/>
          <w:color w:val="auto"/>
          <w:sz w:val="21"/>
          <w:szCs w:val="21"/>
        </w:rPr>
        <w:t xml:space="preserve"> 乙方需配合甲方组织或参与的学术会议以及课题的实施。</w:t>
      </w:r>
    </w:p>
    <w:p w14:paraId="05CAAF4B">
      <w:pPr>
        <w:tabs>
          <w:tab w:val="left" w:pos="376"/>
        </w:tabs>
        <w:adjustRightInd w:val="0"/>
        <w:snapToGrid w:val="0"/>
        <w:spacing w:line="360" w:lineRule="auto"/>
        <w:rPr>
          <w:rFonts w:hint="eastAsia" w:ascii="宋体" w:hAnsi="宋体" w:cs="宋体"/>
          <w:color w:val="auto"/>
          <w:sz w:val="21"/>
          <w:szCs w:val="21"/>
        </w:rPr>
      </w:pPr>
      <w:r>
        <w:rPr>
          <w:rFonts w:hint="eastAsia" w:ascii="宋体" w:hAnsi="宋体" w:cs="宋体"/>
          <w:color w:val="auto"/>
          <w:sz w:val="21"/>
          <w:szCs w:val="21"/>
          <w:lang w:val="en-US" w:eastAsia="zh-CN"/>
        </w:rPr>
        <w:t>7</w:t>
      </w:r>
      <w:r>
        <w:rPr>
          <w:rFonts w:hint="eastAsia" w:ascii="宋体" w:hAnsi="宋体" w:cs="宋体"/>
          <w:color w:val="auto"/>
          <w:sz w:val="21"/>
          <w:szCs w:val="21"/>
        </w:rPr>
        <w:t>.乙方在授权区域以外推广产品前需应向甲方报备产品的终端用户或意向用户，在获得甲方报备系统通过后方可进行相关的销售活动；乙方不得在授权范围以外销售代理产品、发展下级代理经销网络。违反以上任一行为的，甲方有权利拒绝供货且不受本协议其他条款限制，同时甲方有权解除本协议。</w:t>
      </w:r>
    </w:p>
    <w:p w14:paraId="2E6BE0FD">
      <w:pPr>
        <w:numPr>
          <w:ilvl w:val="0"/>
          <w:numId w:val="1"/>
        </w:numPr>
        <w:adjustRightInd w:val="0"/>
        <w:snapToGrid w:val="0"/>
        <w:spacing w:line="360" w:lineRule="auto"/>
        <w:ind w:left="0"/>
        <w:rPr>
          <w:rFonts w:ascii="宋体" w:hAnsi="宋体" w:cs="宋体"/>
          <w:bCs/>
          <w:color w:val="auto"/>
          <w:sz w:val="21"/>
          <w:szCs w:val="21"/>
        </w:rPr>
      </w:pPr>
      <w:r>
        <w:rPr>
          <w:rFonts w:hint="eastAsia" w:ascii="宋体" w:hAnsi="宋体" w:cs="宋体"/>
          <w:b/>
          <w:color w:val="auto"/>
          <w:sz w:val="21"/>
          <w:szCs w:val="21"/>
        </w:rPr>
        <w:t>销售任务量</w:t>
      </w:r>
    </w:p>
    <w:p w14:paraId="37DDFEB7">
      <w:pPr>
        <w:tabs>
          <w:tab w:val="left" w:pos="0"/>
        </w:tabs>
        <w:adjustRightInd w:val="0"/>
        <w:snapToGrid w:val="0"/>
        <w:spacing w:line="360" w:lineRule="auto"/>
        <w:rPr>
          <w:rFonts w:ascii="宋体" w:hAnsi="宋体" w:cs="宋体"/>
          <w:bCs/>
          <w:color w:val="auto"/>
          <w:sz w:val="21"/>
          <w:szCs w:val="21"/>
        </w:rPr>
      </w:pPr>
      <w:r>
        <w:rPr>
          <w:rFonts w:hint="eastAsia" w:ascii="宋体" w:hAnsi="宋体" w:cs="宋体"/>
          <w:bCs/>
          <w:color w:val="auto"/>
          <w:sz w:val="21"/>
          <w:szCs w:val="21"/>
        </w:rPr>
        <w:t>1. 年任务量</w:t>
      </w:r>
    </w:p>
    <w:p w14:paraId="697C6E00">
      <w:pPr>
        <w:tabs>
          <w:tab w:val="left" w:pos="0"/>
        </w:tabs>
        <w:adjustRightInd w:val="0"/>
        <w:snapToGrid w:val="0"/>
        <w:spacing w:line="360" w:lineRule="auto"/>
        <w:rPr>
          <w:rFonts w:ascii="宋体" w:hAnsi="宋体" w:cs="宋体"/>
          <w:bCs/>
          <w:color w:val="auto"/>
          <w:sz w:val="21"/>
          <w:szCs w:val="21"/>
        </w:rPr>
      </w:pPr>
      <w:r>
        <w:rPr>
          <w:rFonts w:hint="eastAsia" w:ascii="宋体" w:hAnsi="宋体" w:cs="宋体"/>
          <w:bCs/>
          <w:color w:val="auto"/>
          <w:sz w:val="21"/>
          <w:szCs w:val="21"/>
        </w:rPr>
        <w:t xml:space="preserve"> </w:t>
      </w:r>
      <w:r>
        <w:rPr>
          <w:rFonts w:ascii="宋体" w:hAnsi="宋体" w:cs="宋体"/>
          <w:bCs/>
          <w:color w:val="auto"/>
          <w:sz w:val="21"/>
          <w:szCs w:val="21"/>
        </w:rPr>
        <w:t xml:space="preserve">  </w:t>
      </w:r>
      <w:r>
        <w:rPr>
          <w:rFonts w:hint="eastAsia" w:ascii="宋体" w:hAnsi="宋体" w:cs="宋体"/>
          <w:bCs/>
          <w:color w:val="auto"/>
          <w:sz w:val="21"/>
          <w:szCs w:val="21"/>
        </w:rPr>
        <w:t>根据目标区域或目标医院实际规模、科室水平、就诊量等，甲方与乙方协调沟通其销售任务量，并签订任务确认表（附件</w:t>
      </w:r>
      <w:r>
        <w:rPr>
          <w:rFonts w:hint="eastAsia" w:ascii="宋体" w:hAnsi="宋体" w:cs="宋体"/>
          <w:bCs/>
          <w:color w:val="auto"/>
          <w:sz w:val="21"/>
          <w:szCs w:val="21"/>
          <w:lang w:val="en-US" w:eastAsia="zh-CN"/>
        </w:rPr>
        <w:t>二</w:t>
      </w:r>
      <w:r>
        <w:rPr>
          <w:rFonts w:hint="eastAsia" w:ascii="宋体" w:hAnsi="宋体" w:cs="宋体"/>
          <w:bCs/>
          <w:color w:val="auto"/>
          <w:sz w:val="21"/>
          <w:szCs w:val="21"/>
          <w:lang w:eastAsia="zh-CN"/>
        </w:rPr>
        <w:t>）</w:t>
      </w:r>
      <w:r>
        <w:rPr>
          <w:rFonts w:hint="eastAsia" w:ascii="宋体" w:hAnsi="宋体" w:cs="宋体"/>
          <w:bCs/>
          <w:color w:val="auto"/>
          <w:sz w:val="21"/>
          <w:szCs w:val="21"/>
        </w:rPr>
        <w:t>双方备案。</w:t>
      </w:r>
    </w:p>
    <w:p w14:paraId="1203A303">
      <w:pPr>
        <w:adjustRightInd w:val="0"/>
        <w:snapToGrid w:val="0"/>
        <w:spacing w:line="360" w:lineRule="auto"/>
        <w:rPr>
          <w:rFonts w:ascii="宋体" w:hAnsi="宋体" w:cs="宋体"/>
          <w:bCs/>
          <w:color w:val="auto"/>
          <w:sz w:val="21"/>
          <w:szCs w:val="21"/>
        </w:rPr>
      </w:pPr>
      <w:r>
        <w:rPr>
          <w:rFonts w:hint="eastAsia" w:ascii="宋体" w:hAnsi="宋体" w:cs="宋体"/>
          <w:bCs/>
          <w:color w:val="auto"/>
          <w:sz w:val="21"/>
          <w:szCs w:val="21"/>
          <w:lang w:val="en-US" w:eastAsia="zh-CN"/>
        </w:rPr>
        <w:t>2</w:t>
      </w:r>
      <w:r>
        <w:rPr>
          <w:rFonts w:hint="eastAsia" w:ascii="宋体" w:hAnsi="宋体" w:cs="宋体"/>
          <w:bCs/>
          <w:color w:val="auto"/>
          <w:sz w:val="21"/>
          <w:szCs w:val="21"/>
        </w:rPr>
        <w:t>.乙方连续3个月未能按计划完成销量任务，甲方有权单方取消乙方的授权及相关优惠政策，并单方解除本协议。</w:t>
      </w:r>
    </w:p>
    <w:p w14:paraId="1D5C930A">
      <w:pPr>
        <w:adjustRightInd w:val="0"/>
        <w:snapToGrid w:val="0"/>
        <w:spacing w:line="360" w:lineRule="auto"/>
        <w:rPr>
          <w:rFonts w:ascii="宋体" w:hAnsi="宋体" w:cs="宋体"/>
          <w:bCs/>
          <w:color w:val="auto"/>
          <w:sz w:val="21"/>
          <w:szCs w:val="21"/>
        </w:rPr>
      </w:pPr>
      <w:r>
        <w:rPr>
          <w:rFonts w:hint="eastAsia" w:ascii="宋体" w:hAnsi="宋体" w:cs="宋体"/>
          <w:bCs/>
          <w:color w:val="auto"/>
          <w:sz w:val="21"/>
          <w:szCs w:val="21"/>
          <w:lang w:val="en-US" w:eastAsia="zh-CN"/>
        </w:rPr>
        <w:t>3</w:t>
      </w:r>
      <w:r>
        <w:rPr>
          <w:rFonts w:hint="eastAsia" w:ascii="宋体" w:hAnsi="宋体" w:cs="宋体"/>
          <w:bCs/>
          <w:color w:val="auto"/>
          <w:sz w:val="21"/>
          <w:szCs w:val="21"/>
        </w:rPr>
        <w:t>.如果乙方完成销售任务的80%以上，享有续约优先权；若乙方连续两个季度不能完成销售任务的60%，乙方对甲方做出合理解释，如第三个季度仍然不能完成该季度的6</w:t>
      </w:r>
      <w:r>
        <w:rPr>
          <w:rFonts w:ascii="宋体" w:hAnsi="宋体" w:cs="宋体"/>
          <w:bCs/>
          <w:color w:val="auto"/>
          <w:sz w:val="21"/>
          <w:szCs w:val="21"/>
        </w:rPr>
        <w:t>0%</w:t>
      </w:r>
      <w:r>
        <w:rPr>
          <w:rFonts w:hint="eastAsia" w:ascii="宋体" w:hAnsi="宋体" w:cs="宋体"/>
          <w:bCs/>
          <w:color w:val="auto"/>
          <w:sz w:val="21"/>
          <w:szCs w:val="21"/>
        </w:rPr>
        <w:t>，则甲方有权收回代理权，并终止合同。</w:t>
      </w:r>
    </w:p>
    <w:p w14:paraId="15B0AF20">
      <w:pPr>
        <w:adjustRightInd w:val="0"/>
        <w:snapToGrid w:val="0"/>
        <w:spacing w:line="360" w:lineRule="auto"/>
        <w:rPr>
          <w:rFonts w:ascii="宋体" w:hAnsi="宋体" w:cs="宋体"/>
          <w:bCs/>
          <w:color w:val="auto"/>
          <w:sz w:val="21"/>
          <w:szCs w:val="21"/>
        </w:rPr>
      </w:pPr>
      <w:r>
        <w:rPr>
          <w:rFonts w:hint="eastAsia" w:ascii="宋体" w:hAnsi="宋体" w:cs="宋体"/>
          <w:bCs/>
          <w:color w:val="auto"/>
          <w:sz w:val="21"/>
          <w:szCs w:val="21"/>
          <w:lang w:val="en-US" w:eastAsia="zh-CN"/>
        </w:rPr>
        <w:t>4</w:t>
      </w:r>
      <w:r>
        <w:rPr>
          <w:rFonts w:hint="eastAsia" w:ascii="宋体" w:hAnsi="宋体" w:cs="宋体"/>
          <w:bCs/>
          <w:color w:val="auto"/>
          <w:sz w:val="21"/>
          <w:szCs w:val="21"/>
        </w:rPr>
        <w:t>.甲方可以根据总体战略及上一年度乙方的销售业绩，调整当年续约销售任务，具体以甲方通知为准。</w:t>
      </w:r>
    </w:p>
    <w:p w14:paraId="78A56E4F">
      <w:pPr>
        <w:tabs>
          <w:tab w:val="left" w:pos="0"/>
        </w:tabs>
        <w:adjustRightInd w:val="0"/>
        <w:snapToGrid w:val="0"/>
        <w:spacing w:line="360" w:lineRule="auto"/>
        <w:rPr>
          <w:rFonts w:ascii="宋体" w:hAnsi="宋体" w:cs="宋体"/>
          <w:bCs/>
          <w:color w:val="auto"/>
          <w:sz w:val="21"/>
          <w:szCs w:val="21"/>
        </w:rPr>
      </w:pPr>
      <w:r>
        <w:rPr>
          <w:rFonts w:hint="eastAsia" w:ascii="宋体" w:hAnsi="宋体" w:cs="宋体"/>
          <w:b/>
          <w:color w:val="auto"/>
          <w:sz w:val="21"/>
          <w:szCs w:val="21"/>
        </w:rPr>
        <w:t>五、</w:t>
      </w:r>
      <w:r>
        <w:rPr>
          <w:rFonts w:hint="eastAsia" w:ascii="宋体" w:hAnsi="宋体" w:cs="宋体"/>
          <w:bCs/>
          <w:color w:val="auto"/>
          <w:sz w:val="21"/>
          <w:szCs w:val="21"/>
        </w:rPr>
        <w:t xml:space="preserve"> </w:t>
      </w:r>
      <w:r>
        <w:rPr>
          <w:rFonts w:hint="eastAsia" w:ascii="宋体" w:hAnsi="宋体" w:cs="宋体"/>
          <w:b/>
          <w:color w:val="auto"/>
          <w:sz w:val="21"/>
          <w:szCs w:val="21"/>
        </w:rPr>
        <w:t>结算方式：</w:t>
      </w:r>
    </w:p>
    <w:p w14:paraId="389ADD28">
      <w:pPr>
        <w:numPr>
          <w:ilvl w:val="0"/>
          <w:numId w:val="0"/>
        </w:numPr>
        <w:tabs>
          <w:tab w:val="left" w:pos="0"/>
        </w:tabs>
        <w:adjustRightInd w:val="0"/>
        <w:snapToGrid w:val="0"/>
        <w:spacing w:line="360" w:lineRule="auto"/>
        <w:ind w:left="0" w:leftChars="0" w:firstLine="0" w:firstLineChars="0"/>
        <w:rPr>
          <w:rFonts w:hint="eastAsia" w:ascii="宋体" w:hAnsi="宋体" w:cs="宋体"/>
          <w:color w:val="auto"/>
          <w:sz w:val="21"/>
          <w:szCs w:val="21"/>
          <w:lang w:val="en-US" w:eastAsia="zh-CN"/>
        </w:rPr>
      </w:pPr>
      <w:r>
        <w:rPr>
          <w:rFonts w:hint="eastAsia" w:ascii="宋体" w:hAnsi="宋体" w:cs="宋体"/>
          <w:color w:val="auto"/>
          <w:kern w:val="2"/>
          <w:sz w:val="21"/>
          <w:szCs w:val="21"/>
          <w:lang w:val="en-US" w:eastAsia="zh-CN" w:bidi="ar-SA"/>
        </w:rPr>
        <w:t>1</w:t>
      </w:r>
      <w:r>
        <w:rPr>
          <w:rFonts w:hint="eastAsia" w:ascii="宋体" w:hAnsi="宋体" w:eastAsia="宋体" w:cs="宋体"/>
          <w:color w:val="auto"/>
          <w:kern w:val="2"/>
          <w:sz w:val="21"/>
          <w:szCs w:val="21"/>
          <w:lang w:val="en-US" w:eastAsia="zh-CN" w:bidi="ar-SA"/>
        </w:rPr>
        <w:t>.</w:t>
      </w:r>
      <w:r>
        <w:rPr>
          <w:rFonts w:hint="eastAsia" w:ascii="宋体" w:hAnsi="宋体" w:cs="宋体"/>
          <w:color w:val="auto"/>
          <w:sz w:val="21"/>
          <w:szCs w:val="21"/>
          <w:lang w:val="en-US" w:eastAsia="zh-CN"/>
        </w:rPr>
        <w:t xml:space="preserve">乙方代理项目由甲方进行返点 </w:t>
      </w:r>
      <w:r>
        <w:rPr>
          <w:rFonts w:hint="eastAsia" w:ascii="宋体" w:hAnsi="宋体" w:cs="宋体"/>
          <w:color w:val="auto"/>
          <w:sz w:val="21"/>
          <w:szCs w:val="21"/>
          <w:u w:val="single"/>
          <w:lang w:val="en-US" w:eastAsia="zh-CN"/>
        </w:rPr>
        <w:t xml:space="preserve"> </w:t>
      </w:r>
      <w:r>
        <w:rPr>
          <w:rFonts w:hint="eastAsia" w:ascii="宋体" w:hAnsi="宋体" w:cs="宋体"/>
          <w:color w:val="FF0000"/>
          <w:sz w:val="21"/>
          <w:szCs w:val="21"/>
          <w:u w:val="single"/>
          <w:lang w:val="en-US" w:eastAsia="zh-CN"/>
        </w:rPr>
        <w:t xml:space="preserve">40% </w:t>
      </w:r>
      <w:r>
        <w:rPr>
          <w:rFonts w:hint="eastAsia" w:ascii="宋体" w:hAnsi="宋体" w:cs="宋体"/>
          <w:color w:val="auto"/>
          <w:sz w:val="21"/>
          <w:szCs w:val="21"/>
          <w:u w:val="single"/>
          <w:lang w:val="en-US" w:eastAsia="zh-CN"/>
        </w:rPr>
        <w:t>(</w:t>
      </w:r>
      <w:r>
        <w:rPr>
          <w:rFonts w:hint="eastAsia" w:ascii="宋体" w:hAnsi="宋体" w:cs="宋体"/>
          <w:color w:val="auto"/>
          <w:sz w:val="21"/>
          <w:szCs w:val="21"/>
          <w:lang w:val="en-US" w:eastAsia="zh-CN"/>
        </w:rPr>
        <w:t>协同服务费)结算，甲方在月初对上个月总体销售数据统计，与乙方进行对账，乙方开具相应发票，甲方则打款给乙方。</w:t>
      </w:r>
    </w:p>
    <w:p w14:paraId="1EBC2940">
      <w:pPr>
        <w:numPr>
          <w:ilvl w:val="0"/>
          <w:numId w:val="0"/>
        </w:numPr>
        <w:tabs>
          <w:tab w:val="left" w:pos="0"/>
        </w:tabs>
        <w:adjustRightInd w:val="0"/>
        <w:snapToGrid w:val="0"/>
        <w:spacing w:line="360" w:lineRule="auto"/>
        <w:ind w:left="0" w:leftChars="0" w:firstLine="0" w:firstLineChars="0"/>
        <w:rPr>
          <w:rFonts w:hint="default" w:ascii="宋体" w:hAnsi="宋体" w:cs="宋体"/>
          <w:color w:val="auto"/>
          <w:sz w:val="21"/>
          <w:szCs w:val="21"/>
          <w:lang w:val="en-US" w:eastAsia="zh-CN"/>
        </w:rPr>
      </w:pPr>
      <w:r>
        <w:rPr>
          <w:rFonts w:hint="eastAsia" w:ascii="宋体" w:hAnsi="宋体" w:cs="宋体"/>
          <w:color w:val="auto"/>
          <w:kern w:val="2"/>
          <w:sz w:val="21"/>
          <w:szCs w:val="21"/>
          <w:lang w:val="en-US" w:eastAsia="zh-CN" w:bidi="ar-SA"/>
        </w:rPr>
        <w:t>2</w:t>
      </w:r>
      <w:r>
        <w:rPr>
          <w:rFonts w:hint="default" w:ascii="宋体" w:hAnsi="宋体" w:eastAsia="宋体" w:cs="宋体"/>
          <w:color w:val="auto"/>
          <w:kern w:val="2"/>
          <w:sz w:val="21"/>
          <w:szCs w:val="21"/>
          <w:lang w:val="en-US" w:eastAsia="zh-CN" w:bidi="ar-SA"/>
        </w:rPr>
        <w:t>.</w:t>
      </w:r>
      <w:r>
        <w:rPr>
          <w:rFonts w:hint="default" w:ascii="宋体" w:hAnsi="宋体" w:cs="宋体"/>
          <w:color w:val="auto"/>
          <w:sz w:val="21"/>
          <w:szCs w:val="21"/>
          <w:lang w:val="en-US" w:eastAsia="zh-CN"/>
        </w:rPr>
        <w:t>双方按自然月结算上一自然月款项，甲乙双方结算时间为次月</w:t>
      </w:r>
      <w:r>
        <w:rPr>
          <w:rFonts w:hint="eastAsia" w:ascii="宋体" w:hAnsi="宋体" w:cs="宋体"/>
          <w:color w:val="auto"/>
          <w:sz w:val="21"/>
          <w:szCs w:val="21"/>
          <w:u w:val="single"/>
          <w:lang w:val="en-US" w:eastAsia="zh-CN"/>
        </w:rPr>
        <w:t>15</w:t>
      </w:r>
      <w:r>
        <w:rPr>
          <w:rFonts w:hint="default" w:ascii="宋体" w:hAnsi="宋体" w:cs="宋体"/>
          <w:color w:val="auto"/>
          <w:sz w:val="21"/>
          <w:szCs w:val="21"/>
          <w:lang w:val="en-US" w:eastAsia="zh-CN"/>
        </w:rPr>
        <w:t>日；</w:t>
      </w:r>
      <w:r>
        <w:rPr>
          <w:rFonts w:hint="eastAsia" w:ascii="宋体" w:hAnsi="宋体" w:cs="宋体"/>
          <w:color w:val="auto"/>
          <w:sz w:val="21"/>
          <w:szCs w:val="21"/>
          <w:lang w:val="en-US" w:eastAsia="zh-CN"/>
        </w:rPr>
        <w:t>若遇法定节假日，则</w:t>
      </w:r>
      <w:r>
        <w:rPr>
          <w:rFonts w:hint="default" w:ascii="宋体" w:hAnsi="宋体" w:cs="宋体"/>
          <w:color w:val="auto"/>
          <w:sz w:val="21"/>
          <w:szCs w:val="21"/>
          <w:lang w:val="en-US" w:eastAsia="zh-CN"/>
        </w:rPr>
        <w:t>甲方对乙方的结算时间相应顺延。乙方应在收到结算对账单后 3 个工作日内完成核对；如有异议，应书面通知甲方并提供相关依据，双方协商核实调整；无异议则视为确认无误。</w:t>
      </w:r>
    </w:p>
    <w:p w14:paraId="60C77EE7">
      <w:pPr>
        <w:numPr>
          <w:ilvl w:val="0"/>
          <w:numId w:val="0"/>
        </w:numPr>
        <w:tabs>
          <w:tab w:val="left" w:pos="0"/>
        </w:tabs>
        <w:adjustRightInd w:val="0"/>
        <w:snapToGrid w:val="0"/>
        <w:spacing w:line="360" w:lineRule="auto"/>
        <w:rPr>
          <w:rFonts w:hint="eastAsia" w:ascii="宋体" w:hAnsi="宋体" w:cs="宋体"/>
          <w:strike w:val="0"/>
          <w:color w:val="auto"/>
          <w:sz w:val="21"/>
          <w:szCs w:val="21"/>
          <w:highlight w:val="none"/>
        </w:rPr>
      </w:pPr>
      <w:r>
        <w:rPr>
          <w:rFonts w:hint="eastAsia" w:ascii="宋体" w:hAnsi="宋体" w:cs="宋体"/>
          <w:strike w:val="0"/>
          <w:color w:val="auto"/>
          <w:kern w:val="2"/>
          <w:sz w:val="21"/>
          <w:szCs w:val="21"/>
          <w:lang w:val="en-US" w:eastAsia="zh-CN" w:bidi="ar-SA"/>
        </w:rPr>
        <w:t>3</w:t>
      </w:r>
      <w:r>
        <w:rPr>
          <w:rFonts w:hint="eastAsia" w:ascii="宋体" w:hAnsi="宋体" w:eastAsia="宋体" w:cs="宋体"/>
          <w:strike w:val="0"/>
          <w:color w:val="auto"/>
          <w:kern w:val="2"/>
          <w:sz w:val="21"/>
          <w:szCs w:val="21"/>
          <w:lang w:val="en-US" w:eastAsia="zh-CN" w:bidi="ar-SA"/>
        </w:rPr>
        <w:t>.</w:t>
      </w:r>
      <w:r>
        <w:rPr>
          <w:rFonts w:hint="eastAsia" w:ascii="宋体" w:hAnsi="宋体" w:cs="宋体"/>
          <w:strike w:val="0"/>
          <w:color w:val="auto"/>
          <w:sz w:val="21"/>
          <w:szCs w:val="21"/>
          <w:highlight w:val="none"/>
        </w:rPr>
        <w:t>结算依据：双方确认无误的结算对账单、甲方中标项目价格（附件</w:t>
      </w:r>
      <w:r>
        <w:rPr>
          <w:rFonts w:hint="eastAsia" w:ascii="宋体" w:hAnsi="宋体" w:cs="宋体"/>
          <w:strike w:val="0"/>
          <w:color w:val="auto"/>
          <w:sz w:val="21"/>
          <w:szCs w:val="21"/>
          <w:highlight w:val="none"/>
          <w:lang w:val="en-US" w:eastAsia="zh-CN"/>
        </w:rPr>
        <w:t>一</w:t>
      </w:r>
      <w:r>
        <w:rPr>
          <w:rFonts w:hint="eastAsia" w:ascii="宋体" w:hAnsi="宋体" w:cs="宋体"/>
          <w:strike w:val="0"/>
          <w:color w:val="auto"/>
          <w:sz w:val="21"/>
          <w:szCs w:val="21"/>
          <w:highlight w:val="none"/>
        </w:rPr>
        <w:t>）、乙方完成的代理服务情况，作为每月结算的核心依据。</w:t>
      </w:r>
    </w:p>
    <w:p w14:paraId="485A67F3">
      <w:pPr>
        <w:numPr>
          <w:ilvl w:val="0"/>
          <w:numId w:val="0"/>
        </w:numPr>
        <w:tabs>
          <w:tab w:val="left" w:pos="0"/>
        </w:tabs>
        <w:adjustRightInd w:val="0"/>
        <w:snapToGrid w:val="0"/>
        <w:spacing w:line="360" w:lineRule="auto"/>
        <w:rPr>
          <w:rFonts w:hint="default" w:ascii="宋体" w:hAnsi="宋体" w:cs="宋体"/>
          <w:strike w:val="0"/>
          <w:color w:val="auto"/>
          <w:sz w:val="21"/>
          <w:szCs w:val="21"/>
          <w:highlight w:val="none"/>
          <w:lang w:val="en-US" w:eastAsia="zh-CN"/>
        </w:rPr>
      </w:pPr>
      <w:r>
        <w:rPr>
          <w:rFonts w:hint="default" w:ascii="宋体" w:hAnsi="宋体" w:eastAsia="宋体" w:cs="宋体"/>
          <w:strike w:val="0"/>
          <w:color w:val="auto"/>
          <w:kern w:val="2"/>
          <w:sz w:val="21"/>
          <w:szCs w:val="21"/>
          <w:lang w:val="en-US" w:eastAsia="zh-CN" w:bidi="ar-SA"/>
        </w:rPr>
        <w:t>4.</w:t>
      </w:r>
      <w:r>
        <w:rPr>
          <w:rFonts w:hint="default" w:ascii="宋体" w:hAnsi="宋体" w:cs="宋体"/>
          <w:color w:val="auto"/>
          <w:sz w:val="21"/>
          <w:szCs w:val="21"/>
          <w:highlight w:val="none"/>
        </w:rPr>
        <w:t>款项支付：乙方在结算对账单确认无误后5个工作日内，向甲方开具对应结算金额的合法有效发票；甲方在收到乙方开具的合格发票后5个工作日内，将协同服务费</w:t>
      </w:r>
      <w:r>
        <w:rPr>
          <w:rFonts w:hint="default" w:ascii="宋体" w:hAnsi="宋体" w:cs="宋体"/>
          <w:color w:val="auto"/>
          <w:sz w:val="21"/>
          <w:szCs w:val="21"/>
          <w:highlight w:val="none"/>
          <w:u w:val="single"/>
        </w:rPr>
        <w:t xml:space="preserve"> </w:t>
      </w:r>
      <w:r>
        <w:rPr>
          <w:rFonts w:hint="eastAsia" w:ascii="宋体" w:hAnsi="宋体" w:cs="宋体"/>
          <w:color w:val="FF0000"/>
          <w:sz w:val="21"/>
          <w:szCs w:val="21"/>
          <w:highlight w:val="none"/>
          <w:u w:val="single"/>
          <w:lang w:val="en-US" w:eastAsia="zh-CN"/>
        </w:rPr>
        <w:t>4</w:t>
      </w:r>
      <w:r>
        <w:rPr>
          <w:rFonts w:hint="default" w:ascii="宋体" w:hAnsi="宋体" w:cs="宋体"/>
          <w:color w:val="FF0000"/>
          <w:sz w:val="21"/>
          <w:szCs w:val="21"/>
          <w:highlight w:val="none"/>
          <w:u w:val="single"/>
        </w:rPr>
        <w:t xml:space="preserve">0% </w:t>
      </w:r>
      <w:r>
        <w:rPr>
          <w:rFonts w:hint="default" w:ascii="宋体" w:hAnsi="宋体" w:cs="宋体"/>
          <w:color w:val="auto"/>
          <w:sz w:val="21"/>
          <w:szCs w:val="21"/>
          <w:highlight w:val="none"/>
        </w:rPr>
        <w:t>返点款项支付至乙方指定账户。。</w:t>
      </w:r>
    </w:p>
    <w:p w14:paraId="3161CA88">
      <w:pPr>
        <w:tabs>
          <w:tab w:val="left" w:pos="0"/>
        </w:tabs>
        <w:adjustRightInd w:val="0"/>
        <w:snapToGrid w:val="0"/>
        <w:spacing w:line="360" w:lineRule="auto"/>
        <w:rPr>
          <w:rFonts w:ascii="宋体" w:hAnsi="宋体" w:cs="宋体"/>
          <w:color w:val="auto"/>
          <w:sz w:val="21"/>
          <w:szCs w:val="21"/>
          <w:highlight w:val="none"/>
        </w:rPr>
      </w:pPr>
      <w:r>
        <w:rPr>
          <w:rFonts w:hint="eastAsia" w:ascii="宋体" w:hAnsi="宋体" w:cs="宋体"/>
          <w:bCs/>
          <w:color w:val="auto"/>
          <w:sz w:val="21"/>
          <w:szCs w:val="21"/>
          <w:highlight w:val="none"/>
          <w:u w:val="none"/>
        </w:rPr>
        <w:t xml:space="preserve"> </w:t>
      </w:r>
      <w:r>
        <w:rPr>
          <w:rFonts w:hint="eastAsia" w:ascii="宋体" w:hAnsi="宋体" w:cs="宋体"/>
          <w:bCs/>
          <w:color w:val="auto"/>
          <w:sz w:val="21"/>
          <w:szCs w:val="21"/>
          <w:highlight w:val="none"/>
          <w:u w:val="none"/>
          <w:lang w:val="en-US" w:eastAsia="zh-CN"/>
        </w:rPr>
        <w:t xml:space="preserve">    </w:t>
      </w:r>
      <w:r>
        <w:rPr>
          <w:rFonts w:hint="eastAsia" w:ascii="宋体" w:hAnsi="宋体" w:cs="宋体"/>
          <w:color w:val="auto"/>
          <w:sz w:val="21"/>
          <w:szCs w:val="21"/>
          <w:highlight w:val="none"/>
          <w:lang w:val="en-US" w:eastAsia="zh-CN"/>
        </w:rPr>
        <w:t>乙</w:t>
      </w:r>
      <w:r>
        <w:rPr>
          <w:rFonts w:hint="eastAsia" w:ascii="宋体" w:hAnsi="宋体" w:cs="宋体"/>
          <w:color w:val="auto"/>
          <w:sz w:val="21"/>
          <w:szCs w:val="21"/>
          <w:highlight w:val="none"/>
        </w:rPr>
        <w:t>方指定收款账户如下：</w:t>
      </w:r>
    </w:p>
    <w:p w14:paraId="6C56C7D4">
      <w:pPr>
        <w:tabs>
          <w:tab w:val="left" w:pos="0"/>
        </w:tabs>
        <w:adjustRightInd w:val="0"/>
        <w:snapToGrid w:val="0"/>
        <w:spacing w:line="360" w:lineRule="auto"/>
        <w:ind w:left="568" w:leftChars="202" w:hanging="2" w:hangingChars="1"/>
        <w:rPr>
          <w:rFonts w:hint="eastAsia" w:ascii="宋体" w:hAnsi="宋体" w:cs="宋体"/>
          <w:color w:val="auto"/>
          <w:sz w:val="21"/>
          <w:szCs w:val="21"/>
          <w:highlight w:val="none"/>
        </w:rPr>
      </w:pPr>
      <w:r>
        <w:rPr>
          <w:rFonts w:hint="eastAsia" w:ascii="宋体" w:hAnsi="宋体" w:cs="宋体"/>
          <w:color w:val="auto"/>
          <w:sz w:val="21"/>
          <w:szCs w:val="21"/>
          <w:highlight w:val="none"/>
        </w:rPr>
        <w:t>收款单位：</w:t>
      </w:r>
      <w:r>
        <w:rPr>
          <w:rFonts w:hint="eastAsia" w:ascii="宋体" w:hAnsi="宋体" w:cs="宋体"/>
          <w:color w:val="auto"/>
          <w:sz w:val="21"/>
          <w:szCs w:val="21"/>
          <w:highlight w:val="none"/>
          <w:lang w:val="en-US" w:eastAsia="zh-CN"/>
        </w:rPr>
        <w:t xml:space="preserve">                </w:t>
      </w:r>
      <w:r>
        <w:rPr>
          <w:rFonts w:hint="eastAsia" w:ascii="宋体" w:hAnsi="宋体" w:cs="宋体"/>
          <w:color w:val="auto"/>
          <w:sz w:val="21"/>
          <w:szCs w:val="21"/>
          <w:highlight w:val="none"/>
        </w:rPr>
        <w:t>公司</w:t>
      </w:r>
    </w:p>
    <w:p w14:paraId="6F4C04C4">
      <w:pPr>
        <w:tabs>
          <w:tab w:val="left" w:pos="0"/>
        </w:tabs>
        <w:adjustRightInd w:val="0"/>
        <w:snapToGrid w:val="0"/>
        <w:spacing w:line="360" w:lineRule="auto"/>
        <w:ind w:left="568" w:leftChars="202" w:hanging="2" w:hangingChars="1"/>
        <w:rPr>
          <w:rFonts w:hint="eastAsia" w:ascii="宋体" w:hAnsi="宋体" w:cs="宋体"/>
          <w:color w:val="auto"/>
          <w:sz w:val="21"/>
          <w:szCs w:val="21"/>
          <w:highlight w:val="none"/>
        </w:rPr>
      </w:pPr>
      <w:r>
        <w:rPr>
          <w:rFonts w:hint="eastAsia" w:ascii="宋体" w:hAnsi="宋体" w:cs="宋体"/>
          <w:color w:val="auto"/>
          <w:sz w:val="21"/>
          <w:szCs w:val="21"/>
          <w:highlight w:val="none"/>
        </w:rPr>
        <w:t>开户行：</w:t>
      </w:r>
    </w:p>
    <w:p w14:paraId="4CBCA70A">
      <w:pPr>
        <w:tabs>
          <w:tab w:val="left" w:pos="0"/>
        </w:tabs>
        <w:adjustRightInd w:val="0"/>
        <w:snapToGrid w:val="0"/>
        <w:spacing w:line="360" w:lineRule="auto"/>
        <w:ind w:left="568" w:leftChars="202" w:hanging="2" w:hangingChars="1"/>
        <w:rPr>
          <w:rFonts w:ascii="宋体" w:hAnsi="宋体" w:cs="宋体"/>
          <w:color w:val="auto"/>
          <w:sz w:val="21"/>
          <w:szCs w:val="21"/>
          <w:highlight w:val="none"/>
        </w:rPr>
      </w:pPr>
      <w:r>
        <w:rPr>
          <w:rFonts w:hint="eastAsia" w:ascii="宋体" w:hAnsi="宋体" w:cs="宋体"/>
          <w:color w:val="auto"/>
          <w:sz w:val="21"/>
          <w:szCs w:val="21"/>
          <w:highlight w:val="none"/>
        </w:rPr>
        <w:t>账号：</w:t>
      </w:r>
    </w:p>
    <w:p w14:paraId="1492A65F">
      <w:pPr>
        <w:numPr>
          <w:ilvl w:val="0"/>
          <w:numId w:val="0"/>
        </w:numPr>
        <w:tabs>
          <w:tab w:val="left" w:pos="0"/>
        </w:tabs>
        <w:adjustRightInd w:val="0"/>
        <w:snapToGrid w:val="0"/>
        <w:spacing w:line="360" w:lineRule="auto"/>
        <w:rPr>
          <w:rFonts w:hint="default" w:ascii="宋体" w:hAnsi="宋体" w:cs="宋体"/>
          <w:strike w:val="0"/>
          <w:color w:val="auto"/>
          <w:sz w:val="21"/>
          <w:szCs w:val="21"/>
          <w:highlight w:val="none"/>
          <w:lang w:val="en-US" w:eastAsia="zh-CN"/>
        </w:rPr>
      </w:pPr>
      <w:r>
        <w:rPr>
          <w:rFonts w:hint="default" w:ascii="宋体" w:hAnsi="宋体" w:eastAsia="宋体" w:cs="宋体"/>
          <w:strike w:val="0"/>
          <w:color w:val="auto"/>
          <w:kern w:val="2"/>
          <w:sz w:val="21"/>
          <w:szCs w:val="21"/>
          <w:lang w:val="en-US" w:eastAsia="zh-CN" w:bidi="ar-SA"/>
        </w:rPr>
        <w:t>5.</w:t>
      </w:r>
      <w:r>
        <w:rPr>
          <w:rFonts w:hint="default" w:ascii="宋体" w:hAnsi="宋体" w:cs="宋体"/>
          <w:color w:val="auto"/>
          <w:sz w:val="21"/>
          <w:szCs w:val="21"/>
          <w:highlight w:val="none"/>
        </w:rPr>
        <w:t>设备押金结算：客户缴纳的设备押金由甲方统一保管，不计入双方结算款项；客户疗程结束、设备完好寄回并经甲方验收后，由甲方负责按原付款途径退回押金，乙方需配合甲方核实客户押金退回相关信息，不得干预甲方押金管理及退回流程。</w:t>
      </w:r>
    </w:p>
    <w:p w14:paraId="2742A2BE">
      <w:pPr>
        <w:numPr>
          <w:ilvl w:val="0"/>
          <w:numId w:val="0"/>
        </w:numPr>
        <w:tabs>
          <w:tab w:val="left" w:pos="0"/>
        </w:tabs>
        <w:adjustRightInd w:val="0"/>
        <w:snapToGrid w:val="0"/>
        <w:spacing w:line="360" w:lineRule="auto"/>
        <w:rPr>
          <w:rFonts w:hint="default" w:ascii="宋体" w:hAnsi="宋体" w:cs="宋体"/>
          <w:strike w:val="0"/>
          <w:color w:val="auto"/>
          <w:sz w:val="21"/>
          <w:szCs w:val="21"/>
          <w:highlight w:val="none"/>
          <w:lang w:val="en-US" w:eastAsia="zh-CN"/>
        </w:rPr>
      </w:pPr>
      <w:r>
        <w:rPr>
          <w:rFonts w:hint="default" w:ascii="宋体" w:hAnsi="宋体" w:eastAsia="宋体" w:cs="宋体"/>
          <w:strike w:val="0"/>
          <w:color w:val="auto"/>
          <w:kern w:val="2"/>
          <w:sz w:val="21"/>
          <w:szCs w:val="21"/>
          <w:lang w:val="en-US" w:eastAsia="zh-CN" w:bidi="ar-SA"/>
        </w:rPr>
        <w:t>6.</w:t>
      </w:r>
      <w:r>
        <w:rPr>
          <w:rFonts w:hint="default" w:ascii="宋体" w:hAnsi="宋体" w:cs="宋体"/>
          <w:color w:val="auto"/>
          <w:sz w:val="21"/>
          <w:szCs w:val="21"/>
          <w:highlight w:val="none"/>
        </w:rPr>
        <w:t>若因医院或客户延迟缴纳款项导致甲方未能及时收取相关费用的，对应结算款项的支付时间相应顺延，甲方不承担逾期支付责任；乙方需协助甲方催收相关款项。</w:t>
      </w:r>
    </w:p>
    <w:p w14:paraId="33354BEA">
      <w:pPr>
        <w:adjustRightInd w:val="0"/>
        <w:snapToGrid w:val="0"/>
        <w:spacing w:line="360" w:lineRule="auto"/>
        <w:rPr>
          <w:rFonts w:ascii="宋体" w:hAnsi="宋体" w:cs="宋体"/>
          <w:b/>
          <w:color w:val="auto"/>
          <w:sz w:val="21"/>
          <w:szCs w:val="21"/>
        </w:rPr>
      </w:pPr>
      <w:r>
        <w:rPr>
          <w:rFonts w:hint="eastAsia" w:ascii="宋体" w:hAnsi="宋体" w:cs="宋体"/>
          <w:b/>
          <w:color w:val="auto"/>
          <w:sz w:val="21"/>
          <w:szCs w:val="21"/>
        </w:rPr>
        <w:t>六、供货方式：</w:t>
      </w:r>
    </w:p>
    <w:p w14:paraId="445E6082">
      <w:pPr>
        <w:numPr>
          <w:ilvl w:val="0"/>
          <w:numId w:val="6"/>
        </w:num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设备由甲方按市场需要投放至乙方授权区域，物权归属甲方。</w:t>
      </w:r>
    </w:p>
    <w:p w14:paraId="75DD3B75">
      <w:pPr>
        <w:numPr>
          <w:ilvl w:val="0"/>
          <w:numId w:val="6"/>
        </w:num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协同服务套餐包括：</w:t>
      </w:r>
    </w:p>
    <w:p w14:paraId="21AAAED7">
      <w:pPr>
        <w:numPr>
          <w:ilvl w:val="0"/>
          <w:numId w:val="7"/>
        </w:num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软件：移动医护端管理小程序、患者APP的使用</w:t>
      </w:r>
    </w:p>
    <w:p w14:paraId="291BB747">
      <w:pPr>
        <w:numPr>
          <w:ilvl w:val="0"/>
          <w:numId w:val="7"/>
        </w:num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硬件：物联网设备</w:t>
      </w:r>
    </w:p>
    <w:p w14:paraId="0BB6DE4D">
      <w:pPr>
        <w:numPr>
          <w:ilvl w:val="0"/>
          <w:numId w:val="7"/>
        </w:num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耗材：项目需配套耗材</w:t>
      </w:r>
    </w:p>
    <w:p w14:paraId="3BC3886C">
      <w:pPr>
        <w:numPr>
          <w:ilvl w:val="0"/>
          <w:numId w:val="7"/>
        </w:num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客服：“六师共管”服务体系提供</w:t>
      </w:r>
    </w:p>
    <w:p w14:paraId="2B5121B2">
      <w:pPr>
        <w:numPr>
          <w:ilvl w:val="0"/>
          <w:numId w:val="7"/>
        </w:num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物流：往返物流</w:t>
      </w:r>
    </w:p>
    <w:p w14:paraId="7C299FCE">
      <w:pPr>
        <w:numPr>
          <w:ilvl w:val="0"/>
          <w:numId w:val="7"/>
        </w:num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消毒：设备的消毒检测再包装费用。</w:t>
      </w:r>
    </w:p>
    <w:p w14:paraId="4CFDAFD5">
      <w:pPr>
        <w:tabs>
          <w:tab w:val="left" w:pos="420"/>
        </w:tabs>
        <w:adjustRightInd w:val="0"/>
        <w:snapToGrid w:val="0"/>
        <w:spacing w:line="360" w:lineRule="auto"/>
        <w:rPr>
          <w:rFonts w:ascii="宋体" w:hAnsi="宋体" w:cs="宋体"/>
          <w:color w:val="auto"/>
          <w:sz w:val="21"/>
          <w:szCs w:val="21"/>
          <w:shd w:val="clear" w:color="auto" w:fill="FFFFFF"/>
        </w:rPr>
      </w:pPr>
      <w:r>
        <w:rPr>
          <w:rFonts w:hint="eastAsia" w:ascii="宋体" w:hAnsi="宋体" w:cs="宋体"/>
          <w:b/>
          <w:color w:val="auto"/>
          <w:sz w:val="21"/>
          <w:szCs w:val="21"/>
          <w:lang w:val="en-US" w:eastAsia="zh-CN"/>
        </w:rPr>
        <w:t>七</w:t>
      </w:r>
      <w:r>
        <w:rPr>
          <w:rFonts w:hint="eastAsia" w:ascii="宋体" w:hAnsi="宋体" w:cs="宋体"/>
          <w:b/>
          <w:color w:val="auto"/>
          <w:sz w:val="21"/>
          <w:szCs w:val="21"/>
        </w:rPr>
        <w:t>、协议生效：</w:t>
      </w:r>
    </w:p>
    <w:p w14:paraId="2A44FD9C">
      <w:pPr>
        <w:adjustRightInd w:val="0"/>
        <w:snapToGrid w:val="0"/>
        <w:spacing w:line="360" w:lineRule="auto"/>
        <w:rPr>
          <w:rFonts w:ascii="宋体" w:hAnsi="宋体" w:cs="宋体"/>
          <w:color w:val="auto"/>
          <w:sz w:val="21"/>
          <w:szCs w:val="21"/>
          <w:shd w:val="clear" w:color="auto" w:fill="FFFFFF"/>
        </w:rPr>
      </w:pPr>
      <w:r>
        <w:rPr>
          <w:rFonts w:hint="eastAsia" w:ascii="宋体" w:hAnsi="宋体" w:cs="宋体"/>
          <w:color w:val="auto"/>
          <w:sz w:val="21"/>
          <w:szCs w:val="21"/>
          <w:shd w:val="clear" w:color="auto" w:fill="FFFFFF"/>
        </w:rPr>
        <w:t>1.本协议的附件为本</w:t>
      </w:r>
      <w:r>
        <w:rPr>
          <w:rFonts w:hint="eastAsia" w:ascii="宋体" w:hAnsi="宋体" w:cs="宋体"/>
          <w:color w:val="auto"/>
          <w:sz w:val="21"/>
          <w:szCs w:val="21"/>
        </w:rPr>
        <w:t>协议</w:t>
      </w:r>
      <w:r>
        <w:rPr>
          <w:rFonts w:hint="eastAsia" w:ascii="宋体" w:hAnsi="宋体" w:cs="宋体"/>
          <w:color w:val="auto"/>
          <w:sz w:val="21"/>
          <w:szCs w:val="21"/>
          <w:shd w:val="clear" w:color="auto" w:fill="FFFFFF"/>
        </w:rPr>
        <w:t>的组成部分，与</w:t>
      </w:r>
      <w:r>
        <w:rPr>
          <w:rFonts w:hint="eastAsia" w:ascii="宋体" w:hAnsi="宋体" w:cs="宋体"/>
          <w:color w:val="auto"/>
          <w:sz w:val="21"/>
          <w:szCs w:val="21"/>
        </w:rPr>
        <w:t>本协议</w:t>
      </w:r>
      <w:r>
        <w:rPr>
          <w:rFonts w:hint="eastAsia" w:ascii="宋体" w:hAnsi="宋体" w:cs="宋体"/>
          <w:color w:val="auto"/>
          <w:sz w:val="21"/>
          <w:szCs w:val="21"/>
          <w:shd w:val="clear" w:color="auto" w:fill="FFFFFF"/>
        </w:rPr>
        <w:t>具有同等法律效力。</w:t>
      </w:r>
    </w:p>
    <w:p w14:paraId="25DDF2F6">
      <w:pPr>
        <w:adjustRightInd w:val="0"/>
        <w:snapToGrid w:val="0"/>
        <w:spacing w:line="360" w:lineRule="auto"/>
        <w:rPr>
          <w:rFonts w:ascii="宋体" w:hAnsi="宋体" w:cs="宋体"/>
          <w:color w:val="auto"/>
          <w:sz w:val="21"/>
          <w:szCs w:val="21"/>
          <w:shd w:val="clear" w:color="auto" w:fill="FFFFFF"/>
        </w:rPr>
      </w:pPr>
      <w:r>
        <w:rPr>
          <w:rFonts w:hint="eastAsia" w:ascii="宋体" w:hAnsi="宋体" w:cs="宋体"/>
          <w:color w:val="auto"/>
          <w:sz w:val="21"/>
          <w:szCs w:val="21"/>
          <w:shd w:val="clear" w:color="auto" w:fill="FFFFFF"/>
        </w:rPr>
        <w:t>2.本协议自双方授权代表签字、盖章之日起生效。</w:t>
      </w:r>
    </w:p>
    <w:p w14:paraId="423447F2">
      <w:pPr>
        <w:adjustRightInd w:val="0"/>
        <w:snapToGrid w:val="0"/>
        <w:spacing w:line="360" w:lineRule="auto"/>
        <w:rPr>
          <w:rFonts w:ascii="宋体" w:hAnsi="宋体" w:cs="宋体"/>
          <w:color w:val="auto"/>
          <w:sz w:val="21"/>
          <w:szCs w:val="21"/>
          <w:shd w:val="clear" w:color="auto" w:fill="FFFFFF"/>
        </w:rPr>
      </w:pPr>
      <w:r>
        <w:rPr>
          <w:rFonts w:hint="eastAsia" w:ascii="宋体" w:hAnsi="宋体" w:cs="宋体"/>
          <w:color w:val="auto"/>
          <w:sz w:val="21"/>
          <w:szCs w:val="21"/>
          <w:shd w:val="clear" w:color="auto" w:fill="FFFFFF"/>
        </w:rPr>
        <w:t>3.本协议正本一式贰份，双方各执壹份，具有同等法律效力。</w:t>
      </w:r>
    </w:p>
    <w:p w14:paraId="54608976">
      <w:pPr>
        <w:adjustRightInd w:val="0"/>
        <w:snapToGrid w:val="0"/>
        <w:spacing w:line="360" w:lineRule="auto"/>
        <w:rPr>
          <w:rFonts w:ascii="宋体" w:hAnsi="宋体" w:cs="宋体"/>
          <w:b/>
          <w:color w:val="auto"/>
          <w:sz w:val="21"/>
          <w:szCs w:val="21"/>
        </w:rPr>
      </w:pPr>
      <w:r>
        <w:rPr>
          <w:rFonts w:hint="eastAsia" w:ascii="宋体" w:hAnsi="宋体" w:cs="宋体"/>
          <w:b/>
          <w:color w:val="auto"/>
          <w:sz w:val="21"/>
          <w:szCs w:val="21"/>
          <w:lang w:val="en-US" w:eastAsia="zh-CN"/>
        </w:rPr>
        <w:t>八</w:t>
      </w:r>
      <w:r>
        <w:rPr>
          <w:rFonts w:hint="eastAsia" w:ascii="宋体" w:hAnsi="宋体" w:cs="宋体"/>
          <w:b/>
          <w:color w:val="auto"/>
          <w:sz w:val="21"/>
          <w:szCs w:val="21"/>
        </w:rPr>
        <w:t>、协议的终止</w:t>
      </w:r>
    </w:p>
    <w:p w14:paraId="44C79CF2">
      <w:p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1.如合同期内双方均无违约行为，合同到期前一个月双方另行续签合作协议。</w:t>
      </w:r>
    </w:p>
    <w:p w14:paraId="3436D592">
      <w:p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shd w:val="clear" w:color="auto" w:fill="FFFFFF"/>
        </w:rPr>
        <w:t>2. 在代理期限到期或提前到期或本协议被终止后，双方应在30日内结清所有的欠款、资金、物资、往来账目、代理本合同项下产品产生的全部货款等，</w:t>
      </w:r>
      <w:r>
        <w:rPr>
          <w:rFonts w:hint="eastAsia" w:ascii="宋体" w:hAnsi="宋体" w:cs="宋体"/>
          <w:color w:val="auto"/>
          <w:sz w:val="21"/>
          <w:szCs w:val="21"/>
          <w:highlight w:val="none"/>
          <w:shd w:val="clear" w:color="auto" w:fill="FFFFFF"/>
        </w:rPr>
        <w:t>甲方需在协议终止后15日内，完成乙方所有未结算款项的核对及支付（扣除乙方应承担的违约金、损失等）</w:t>
      </w:r>
      <w:r>
        <w:rPr>
          <w:rFonts w:hint="eastAsia" w:ascii="宋体" w:hAnsi="宋体" w:cs="宋体"/>
          <w:color w:val="auto"/>
          <w:sz w:val="21"/>
          <w:szCs w:val="21"/>
          <w:highlight w:val="none"/>
          <w:shd w:val="clear" w:color="auto" w:fill="FFFFFF"/>
          <w:lang w:eastAsia="zh-CN"/>
        </w:rPr>
        <w:t>；</w:t>
      </w:r>
      <w:r>
        <w:rPr>
          <w:rFonts w:hint="eastAsia" w:ascii="宋体" w:hAnsi="宋体" w:cs="宋体"/>
          <w:color w:val="auto"/>
          <w:sz w:val="21"/>
          <w:szCs w:val="21"/>
          <w:highlight w:val="none"/>
          <w:shd w:val="clear" w:color="auto" w:fill="FFFFFF"/>
        </w:rPr>
        <w:t>乙</w:t>
      </w:r>
      <w:r>
        <w:rPr>
          <w:rFonts w:hint="eastAsia" w:ascii="宋体" w:hAnsi="宋体" w:cs="宋体"/>
          <w:color w:val="auto"/>
          <w:sz w:val="21"/>
          <w:szCs w:val="21"/>
          <w:shd w:val="clear" w:color="auto" w:fill="FFFFFF"/>
        </w:rPr>
        <w:t>方应在代理期限到期或提前到期后一个月内向甲方移交用户清单，</w:t>
      </w:r>
      <w:r>
        <w:rPr>
          <w:rFonts w:hint="eastAsia" w:ascii="宋体" w:hAnsi="宋体" w:cs="宋体"/>
          <w:color w:val="auto"/>
          <w:sz w:val="21"/>
          <w:szCs w:val="21"/>
        </w:rPr>
        <w:t>将甲方提供的相关授权及资质文件退还给甲方。代理期限到期或本协议终止后乙方不得以甲方代理商名义对外从事任何活动。</w:t>
      </w:r>
    </w:p>
    <w:p w14:paraId="36833C79">
      <w:pPr>
        <w:adjustRightInd w:val="0"/>
        <w:snapToGrid w:val="0"/>
        <w:spacing w:line="360" w:lineRule="auto"/>
        <w:rPr>
          <w:rFonts w:ascii="宋体" w:hAnsi="宋体" w:cs="宋体"/>
          <w:color w:val="auto"/>
          <w:sz w:val="21"/>
          <w:szCs w:val="21"/>
          <w:shd w:val="clear" w:color="auto" w:fill="FFFFFF"/>
        </w:rPr>
      </w:pPr>
      <w:r>
        <w:rPr>
          <w:rFonts w:hint="eastAsia" w:ascii="宋体" w:hAnsi="宋体" w:cs="宋体"/>
          <w:color w:val="auto"/>
          <w:sz w:val="21"/>
          <w:szCs w:val="21"/>
          <w:shd w:val="clear" w:color="auto" w:fill="FFFFFF"/>
        </w:rPr>
        <w:t>3. 合作关系的终止并不意味着本协议的终止，甲方、乙方的责任、义务权利继续有效，直到本协议规定的双方责任、义务、权利执行完毕。　</w:t>
      </w:r>
    </w:p>
    <w:p w14:paraId="4A4E5909">
      <w:pPr>
        <w:adjustRightInd w:val="0"/>
        <w:snapToGrid w:val="0"/>
        <w:spacing w:line="360" w:lineRule="auto"/>
        <w:rPr>
          <w:rFonts w:ascii="宋体" w:hAnsi="宋体" w:cs="宋体"/>
          <w:b/>
          <w:color w:val="auto"/>
          <w:sz w:val="21"/>
          <w:szCs w:val="21"/>
        </w:rPr>
      </w:pPr>
      <w:r>
        <w:rPr>
          <w:rFonts w:hint="eastAsia" w:ascii="宋体" w:hAnsi="宋体" w:cs="宋体"/>
          <w:b/>
          <w:color w:val="auto"/>
          <w:sz w:val="21"/>
          <w:szCs w:val="21"/>
          <w:lang w:val="en-US" w:eastAsia="zh-CN"/>
        </w:rPr>
        <w:t>九</w:t>
      </w:r>
      <w:r>
        <w:rPr>
          <w:rFonts w:hint="eastAsia" w:ascii="宋体" w:hAnsi="宋体" w:cs="宋体"/>
          <w:b/>
          <w:color w:val="auto"/>
          <w:sz w:val="21"/>
          <w:szCs w:val="21"/>
        </w:rPr>
        <w:t>、违约责任</w:t>
      </w:r>
    </w:p>
    <w:p w14:paraId="45496CEF">
      <w:p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1.甲乙双方均应认真履行本协议所有条款，如一方违约给对方造成损失的，则由违约方赔偿对方因此遭受的经济损失。</w:t>
      </w:r>
    </w:p>
    <w:p w14:paraId="079B4A7B">
      <w:pPr>
        <w:adjustRightInd w:val="0"/>
        <w:snapToGrid w:val="0"/>
        <w:spacing w:line="360" w:lineRule="auto"/>
        <w:rPr>
          <w:rFonts w:ascii="宋体" w:hAnsi="宋体" w:cs="宋体"/>
          <w:color w:val="auto"/>
          <w:sz w:val="21"/>
          <w:szCs w:val="21"/>
        </w:rPr>
      </w:pPr>
      <w:r>
        <w:rPr>
          <w:rFonts w:hint="eastAsia" w:ascii="宋体" w:hAnsi="宋体" w:cs="宋体"/>
          <w:color w:val="auto"/>
          <w:sz w:val="21"/>
          <w:szCs w:val="21"/>
        </w:rPr>
        <w:t>2.如乙方未经甲方书面同意超出本协议约定的代理授权范围进行销售，甲方有权停止向乙方供货，并有权解除代理授权，并要求乙方按实际发生未授权销售额的30%或</w:t>
      </w:r>
      <w:r>
        <w:rPr>
          <w:rFonts w:hint="eastAsia" w:ascii="宋体" w:hAnsi="宋体" w:cs="宋体"/>
          <w:color w:val="auto"/>
          <w:sz w:val="21"/>
          <w:szCs w:val="21"/>
          <w:u w:val="single"/>
        </w:rPr>
        <w:t xml:space="preserve"> 壹拾万 </w:t>
      </w:r>
      <w:r>
        <w:rPr>
          <w:rFonts w:hint="eastAsia" w:ascii="宋体" w:hAnsi="宋体" w:cs="宋体"/>
          <w:color w:val="auto"/>
          <w:sz w:val="21"/>
          <w:szCs w:val="21"/>
        </w:rPr>
        <w:t>元（以较高者为准）向甲方支付违约金。</w:t>
      </w:r>
    </w:p>
    <w:p w14:paraId="4BB8F838">
      <w:pPr>
        <w:adjustRightInd w:val="0"/>
        <w:snapToGrid w:val="0"/>
        <w:spacing w:line="360" w:lineRule="auto"/>
        <w:rPr>
          <w:rFonts w:ascii="宋体" w:hAnsi="宋体" w:cs="宋体"/>
          <w:color w:val="auto"/>
          <w:kern w:val="0"/>
          <w:sz w:val="21"/>
          <w:szCs w:val="21"/>
        </w:rPr>
      </w:pPr>
      <w:r>
        <w:rPr>
          <w:rFonts w:hint="eastAsia" w:ascii="宋体" w:hAnsi="宋体" w:cs="宋体"/>
          <w:color w:val="auto"/>
          <w:sz w:val="21"/>
          <w:szCs w:val="21"/>
          <w:lang w:val="en-US" w:eastAsia="zh-CN"/>
        </w:rPr>
        <w:t>3</w:t>
      </w:r>
      <w:r>
        <w:rPr>
          <w:rFonts w:hint="eastAsia" w:ascii="宋体" w:hAnsi="宋体" w:cs="宋体"/>
          <w:color w:val="auto"/>
          <w:sz w:val="21"/>
          <w:szCs w:val="21"/>
        </w:rPr>
        <w:t>.本协议在履行过程中发生的争议，由双方当事人协商解决，协商不成的，任何一方均应向甲方住所地人民法院提起诉讼解决。本协议未尽事宜，由双方另行协商解决。</w:t>
      </w:r>
    </w:p>
    <w:p w14:paraId="672D687C">
      <w:pPr>
        <w:widowControl/>
        <w:adjustRightInd w:val="0"/>
        <w:snapToGrid w:val="0"/>
        <w:spacing w:line="360" w:lineRule="auto"/>
        <w:jc w:val="left"/>
        <w:rPr>
          <w:rFonts w:ascii="宋体" w:hAnsi="宋体" w:cs="宋体"/>
          <w:color w:val="auto"/>
          <w:sz w:val="21"/>
          <w:szCs w:val="21"/>
        </w:rPr>
      </w:pPr>
      <w:r>
        <w:rPr>
          <w:rFonts w:hint="eastAsia" w:ascii="宋体" w:hAnsi="宋体" w:cs="宋体"/>
          <w:color w:val="auto"/>
          <w:sz w:val="21"/>
          <w:szCs w:val="21"/>
          <w:lang w:val="en-US" w:eastAsia="zh-CN"/>
        </w:rPr>
        <w:t>4</w:t>
      </w:r>
      <w:r>
        <w:rPr>
          <w:rFonts w:hint="eastAsia" w:ascii="宋体" w:hAnsi="宋体" w:cs="宋体"/>
          <w:color w:val="auto"/>
          <w:sz w:val="21"/>
          <w:szCs w:val="21"/>
        </w:rPr>
        <w:t>.本协议项下守约方为实现债权所支出的全部费用，包括但不限于律师费、保全担保费、保全申请费、差旅费等由违约方承担。</w:t>
      </w:r>
    </w:p>
    <w:p w14:paraId="0FCF8292">
      <w:pPr>
        <w:adjustRightInd w:val="0"/>
        <w:snapToGrid w:val="0"/>
        <w:spacing w:line="360" w:lineRule="auto"/>
        <w:rPr>
          <w:rFonts w:ascii="宋体" w:hAnsi="宋体" w:cs="宋体"/>
          <w:b/>
          <w:color w:val="auto"/>
          <w:sz w:val="21"/>
          <w:szCs w:val="21"/>
        </w:rPr>
      </w:pPr>
      <w:r>
        <w:rPr>
          <w:rFonts w:hint="eastAsia" w:ascii="宋体" w:hAnsi="宋体" w:cs="宋体"/>
          <w:b/>
          <w:color w:val="auto"/>
          <w:sz w:val="21"/>
          <w:szCs w:val="21"/>
        </w:rPr>
        <w:t>十、保密条款</w:t>
      </w:r>
    </w:p>
    <w:p w14:paraId="5A38E2BD">
      <w:pPr>
        <w:adjustRightInd w:val="0"/>
        <w:snapToGrid w:val="0"/>
        <w:spacing w:line="360" w:lineRule="auto"/>
        <w:ind w:firstLine="210" w:firstLineChars="100"/>
        <w:rPr>
          <w:rFonts w:ascii="宋体" w:hAnsi="宋体" w:cs="宋体"/>
          <w:color w:val="auto"/>
          <w:sz w:val="21"/>
          <w:szCs w:val="21"/>
          <w:shd w:val="clear" w:color="auto" w:fill="FFFFFF"/>
        </w:rPr>
      </w:pPr>
      <w:r>
        <w:rPr>
          <w:rFonts w:hint="eastAsia" w:ascii="宋体" w:hAnsi="宋体" w:cs="宋体"/>
          <w:color w:val="auto"/>
          <w:sz w:val="21"/>
          <w:szCs w:val="21"/>
          <w:shd w:val="clear" w:color="auto" w:fill="FFFFFF"/>
        </w:rPr>
        <w:t>本协议生效后，任何一方应保守对方向己方透露的商业秘密，不得向第三者透露对方价格体系、销售总额、文件资料等商业秘密，</w:t>
      </w:r>
      <w:r>
        <w:rPr>
          <w:rFonts w:hint="eastAsia" w:ascii="宋体" w:hAnsi="宋体" w:cs="宋体"/>
          <w:color w:val="auto"/>
          <w:sz w:val="21"/>
          <w:szCs w:val="21"/>
          <w:highlight w:val="none"/>
          <w:shd w:val="clear" w:color="auto" w:fill="FFFFFF"/>
        </w:rPr>
        <w:t>包括但不限于甲方指定平台的相关信息、双方每月结算数据、乙方所开发医院的合作信息等，否</w:t>
      </w:r>
      <w:r>
        <w:rPr>
          <w:rFonts w:hint="eastAsia" w:ascii="宋体" w:hAnsi="宋体" w:cs="宋体"/>
          <w:color w:val="auto"/>
          <w:sz w:val="21"/>
          <w:szCs w:val="21"/>
          <w:shd w:val="clear" w:color="auto" w:fill="FFFFFF"/>
        </w:rPr>
        <w:t>则应赔偿对方的全部损失。</w:t>
      </w:r>
    </w:p>
    <w:p w14:paraId="3FA5D455">
      <w:pPr>
        <w:adjustRightInd w:val="0"/>
        <w:snapToGrid w:val="0"/>
        <w:spacing w:line="360" w:lineRule="auto"/>
        <w:rPr>
          <w:rFonts w:ascii="宋体" w:hAnsi="宋体" w:cs="宋体"/>
          <w:b/>
          <w:color w:val="auto"/>
          <w:sz w:val="21"/>
          <w:szCs w:val="21"/>
        </w:rPr>
      </w:pPr>
      <w:r>
        <w:rPr>
          <w:rFonts w:hint="eastAsia" w:ascii="宋体" w:hAnsi="宋体" w:cs="宋体"/>
          <w:b/>
          <w:color w:val="auto"/>
          <w:sz w:val="21"/>
          <w:szCs w:val="21"/>
        </w:rPr>
        <w:t>十</w:t>
      </w:r>
      <w:r>
        <w:rPr>
          <w:rFonts w:hint="eastAsia" w:ascii="宋体" w:hAnsi="宋体" w:cs="宋体"/>
          <w:b/>
          <w:color w:val="auto"/>
          <w:sz w:val="21"/>
          <w:szCs w:val="21"/>
          <w:lang w:val="en-US" w:eastAsia="zh-CN"/>
        </w:rPr>
        <w:t>一</w:t>
      </w:r>
      <w:r>
        <w:rPr>
          <w:rFonts w:hint="eastAsia" w:ascii="宋体" w:hAnsi="宋体" w:cs="宋体"/>
          <w:b/>
          <w:color w:val="auto"/>
          <w:sz w:val="21"/>
          <w:szCs w:val="21"/>
        </w:rPr>
        <w:t>、免责条款</w:t>
      </w:r>
    </w:p>
    <w:p w14:paraId="6F10963C">
      <w:pPr>
        <w:adjustRightInd w:val="0"/>
        <w:snapToGrid w:val="0"/>
        <w:spacing w:line="360" w:lineRule="auto"/>
        <w:rPr>
          <w:rFonts w:ascii="宋体" w:hAnsi="宋体" w:cs="宋体"/>
          <w:color w:val="auto"/>
          <w:kern w:val="0"/>
          <w:sz w:val="21"/>
          <w:szCs w:val="21"/>
        </w:rPr>
      </w:pPr>
      <w:r>
        <w:rPr>
          <w:rFonts w:hint="eastAsia" w:ascii="宋体" w:hAnsi="宋体" w:cs="宋体"/>
          <w:color w:val="auto"/>
          <w:sz w:val="21"/>
          <w:szCs w:val="21"/>
          <w:shd w:val="clear" w:color="auto" w:fill="FFFFFF"/>
        </w:rPr>
        <w:t>1.因不可抗力不能履行协议的，根据不可抗力的影响，部分或全部免除责任，但法律和本协议另有规定的除外。如果因不可抗力的影响致使本协议中止履行30日以上时，双方就是否继续履行本协议进行协商。</w:t>
      </w:r>
    </w:p>
    <w:p w14:paraId="38DD35A2">
      <w:pPr>
        <w:adjustRightInd w:val="0"/>
        <w:snapToGrid w:val="0"/>
        <w:spacing w:line="360" w:lineRule="auto"/>
        <w:rPr>
          <w:rFonts w:hint="eastAsia" w:ascii="宋体" w:hAnsi="宋体" w:cs="宋体"/>
          <w:color w:val="auto"/>
          <w:sz w:val="21"/>
          <w:szCs w:val="21"/>
          <w:shd w:val="clear" w:color="auto" w:fill="FFFFFF"/>
        </w:rPr>
      </w:pPr>
      <w:r>
        <w:rPr>
          <w:rFonts w:hint="eastAsia" w:ascii="宋体" w:hAnsi="宋体" w:cs="宋体"/>
          <w:color w:val="auto"/>
          <w:sz w:val="21"/>
          <w:szCs w:val="21"/>
          <w:shd w:val="clear" w:color="auto" w:fill="FFFFFF"/>
        </w:rPr>
        <w:t>2.在本协议有效期内，因政府采购项目要求而另行签署的格式合同或授权书与本协议相矛盾之处，以本协议为准。</w:t>
      </w:r>
    </w:p>
    <w:p w14:paraId="284CA568">
      <w:pPr>
        <w:adjustRightInd w:val="0"/>
        <w:snapToGrid w:val="0"/>
        <w:spacing w:line="360" w:lineRule="auto"/>
        <w:rPr>
          <w:rFonts w:hint="default" w:ascii="宋体" w:hAnsi="宋体" w:eastAsia="宋体" w:cs="宋体"/>
          <w:color w:val="auto"/>
          <w:sz w:val="21"/>
          <w:szCs w:val="21"/>
          <w:highlight w:val="none"/>
          <w:shd w:val="clear" w:color="auto" w:fill="FFFFFF"/>
          <w:lang w:val="en-US" w:eastAsia="zh-CN"/>
        </w:rPr>
      </w:pPr>
      <w:r>
        <w:rPr>
          <w:rFonts w:hint="eastAsia" w:ascii="宋体" w:hAnsi="宋体" w:cs="宋体"/>
          <w:color w:val="auto"/>
          <w:sz w:val="21"/>
          <w:szCs w:val="21"/>
          <w:highlight w:val="none"/>
          <w:shd w:val="clear" w:color="auto" w:fill="FFFFFF"/>
          <w:lang w:val="en-US" w:eastAsia="zh-CN"/>
        </w:rPr>
        <w:t>3.因甲方指定平台出现不可抗力（如系统崩溃、网络中断等非甲方主观原因）导致款项收取延迟、结算延误的，甲方不承担违约责任，但应及时通知乙方，并采取有效措施尽快恢复平台正常运行，同时顺延对应结算周期。</w:t>
      </w:r>
    </w:p>
    <w:p w14:paraId="7A678E58">
      <w:pPr>
        <w:adjustRightInd w:val="0"/>
        <w:snapToGrid w:val="0"/>
        <w:spacing w:line="360" w:lineRule="auto"/>
        <w:rPr>
          <w:rFonts w:ascii="宋体" w:hAnsi="宋体" w:cs="宋体"/>
          <w:b/>
          <w:color w:val="auto"/>
          <w:sz w:val="21"/>
          <w:szCs w:val="21"/>
        </w:rPr>
      </w:pPr>
      <w:r>
        <w:rPr>
          <w:rFonts w:hint="eastAsia" w:ascii="宋体" w:hAnsi="宋体" w:cs="宋体"/>
          <w:b/>
          <w:color w:val="auto"/>
          <w:sz w:val="21"/>
          <w:szCs w:val="21"/>
        </w:rPr>
        <w:t>十</w:t>
      </w:r>
      <w:r>
        <w:rPr>
          <w:rFonts w:hint="eastAsia" w:ascii="宋体" w:hAnsi="宋体" w:cs="宋体"/>
          <w:b/>
          <w:color w:val="auto"/>
          <w:sz w:val="21"/>
          <w:szCs w:val="21"/>
          <w:lang w:val="en-US" w:eastAsia="zh-CN"/>
        </w:rPr>
        <w:t>二</w:t>
      </w:r>
      <w:r>
        <w:rPr>
          <w:rFonts w:hint="eastAsia" w:ascii="宋体" w:hAnsi="宋体" w:cs="宋体"/>
          <w:b/>
          <w:color w:val="auto"/>
          <w:sz w:val="21"/>
          <w:szCs w:val="21"/>
        </w:rPr>
        <w:t>、通知条款</w:t>
      </w:r>
    </w:p>
    <w:p w14:paraId="6B89D4D8">
      <w:pPr>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任何与本协议有关的文件、通知、主张以及因本协议所引起的各审级诉讼程序需送达的相关法律文书均可以协议首部载明的地址、联系电话、联系邮箱送达。协议首部所载地址、联系电话、联系邮箱等通讯信息变更的，应当于变更之日起5日内以书面方式通知对方或案件受理机构。任一方提供的上述通讯信息不准确、不真实或未及时就该等信息的变更向对方或案件受理机构履行通知义务，对方按照原地址、联系电话、联系邮箱邮递相关文件的，无论是否退回均视为已送达，因此造成的法律后果均由该接收方承担。接收方拒收的，亦视为送达完成。</w:t>
      </w:r>
    </w:p>
    <w:p w14:paraId="15317073">
      <w:pPr>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乙方确认甲方系根据交易实际情况及遵循公平原则确定甲乙双方之间的权利和义务，并已采取合理的方式提示乙方注意免除或者减轻其责任等与乙方有重大利害关系的条款。甲方已经按照乙方要求，对条款予以提示及逐一说明。</w:t>
      </w:r>
    </w:p>
    <w:p w14:paraId="524E46CA">
      <w:pPr>
        <w:adjustRightInd w:val="0"/>
        <w:snapToGrid w:val="0"/>
        <w:spacing w:line="360" w:lineRule="auto"/>
        <w:ind w:firstLine="420" w:firstLineChars="200"/>
        <w:rPr>
          <w:rFonts w:ascii="宋体" w:hAnsi="宋体" w:cs="宋体"/>
          <w:color w:val="auto"/>
          <w:sz w:val="21"/>
          <w:szCs w:val="21"/>
        </w:rPr>
      </w:pPr>
      <w:r>
        <w:rPr>
          <w:rFonts w:hint="eastAsia" w:ascii="宋体" w:hAnsi="宋体" w:cs="宋体"/>
          <w:color w:val="auto"/>
          <w:sz w:val="21"/>
          <w:szCs w:val="21"/>
        </w:rPr>
        <w:t>乙方确认如因己方没有注意或者理解与其有重大利害关系的条款的，亦不得主张该条款为格式条款。</w:t>
      </w:r>
    </w:p>
    <w:p w14:paraId="00CA55EE">
      <w:pPr>
        <w:adjustRightInd w:val="0"/>
        <w:snapToGrid w:val="0"/>
        <w:spacing w:line="360" w:lineRule="auto"/>
        <w:rPr>
          <w:rFonts w:ascii="宋体" w:hAnsi="宋体" w:cs="宋体"/>
          <w:color w:val="auto"/>
          <w:sz w:val="21"/>
          <w:szCs w:val="21"/>
        </w:rPr>
      </w:pPr>
    </w:p>
    <w:p w14:paraId="08823B29">
      <w:pPr>
        <w:adjustRightInd w:val="0"/>
        <w:snapToGrid w:val="0"/>
        <w:spacing w:line="360" w:lineRule="auto"/>
        <w:rPr>
          <w:rFonts w:ascii="宋体" w:hAnsi="宋体" w:cs="宋体"/>
          <w:color w:val="auto"/>
          <w:sz w:val="21"/>
          <w:szCs w:val="21"/>
        </w:rPr>
      </w:pPr>
    </w:p>
    <w:p w14:paraId="4172B980">
      <w:pPr>
        <w:adjustRightInd w:val="0"/>
        <w:snapToGrid w:val="0"/>
        <w:spacing w:line="360" w:lineRule="auto"/>
        <w:rPr>
          <w:rFonts w:hint="eastAsia" w:ascii="Segoe UI" w:hAnsi="Segoe UI" w:cs="Segoe UI"/>
          <w:color w:val="auto"/>
          <w:sz w:val="24"/>
          <w:szCs w:val="24"/>
          <w:shd w:val="clear" w:color="auto" w:fill="FFFFFF"/>
        </w:rPr>
      </w:pPr>
      <w:r>
        <w:rPr>
          <w:rFonts w:ascii="Segoe UI" w:hAnsi="Segoe UI" w:eastAsia="Segoe UI" w:cs="Segoe UI"/>
          <w:color w:val="auto"/>
          <w:sz w:val="24"/>
          <w:szCs w:val="24"/>
          <w:shd w:val="clear" w:color="auto" w:fill="FFFFFF"/>
        </w:rPr>
        <w:t>本页以下无正文内容，仅用于合同甲、乙双方签署盖章</w:t>
      </w:r>
      <w:r>
        <w:rPr>
          <w:rFonts w:hint="eastAsia" w:ascii="Segoe UI" w:hAnsi="Segoe UI" w:cs="Segoe UI"/>
          <w:color w:val="auto"/>
          <w:sz w:val="24"/>
          <w:szCs w:val="24"/>
          <w:shd w:val="clear" w:color="auto" w:fill="FFFFFF"/>
        </w:rPr>
        <w:t>，</w:t>
      </w:r>
      <w:r>
        <w:rPr>
          <w:rFonts w:ascii="Segoe UI" w:hAnsi="Segoe UI" w:eastAsia="Segoe UI" w:cs="Segoe UI"/>
          <w:color w:val="auto"/>
          <w:sz w:val="24"/>
          <w:szCs w:val="24"/>
          <w:shd w:val="clear" w:color="auto" w:fill="FFFFFF"/>
        </w:rPr>
        <w:t>以确认对前文合同条款的认可</w:t>
      </w:r>
      <w:r>
        <w:rPr>
          <w:rFonts w:hint="eastAsia" w:ascii="Segoe UI" w:hAnsi="Segoe UI" w:cs="Segoe UI"/>
          <w:color w:val="auto"/>
          <w:sz w:val="24"/>
          <w:szCs w:val="24"/>
          <w:shd w:val="clear" w:color="auto" w:fill="FFFFFF"/>
        </w:rPr>
        <w:t>。</w:t>
      </w:r>
    </w:p>
    <w:p w14:paraId="6EB404A8">
      <w:pPr>
        <w:adjustRightInd w:val="0"/>
        <w:snapToGrid w:val="0"/>
        <w:spacing w:line="360" w:lineRule="auto"/>
        <w:rPr>
          <w:rFonts w:hint="eastAsia" w:ascii="Segoe UI" w:hAnsi="Segoe UI" w:cs="Segoe UI"/>
          <w:color w:val="auto"/>
          <w:sz w:val="24"/>
          <w:szCs w:val="24"/>
          <w:shd w:val="clear" w:color="auto" w:fill="FFFFFF"/>
        </w:rPr>
      </w:pPr>
    </w:p>
    <w:p w14:paraId="554B7908">
      <w:pPr>
        <w:adjustRightInd w:val="0"/>
        <w:snapToGrid w:val="0"/>
        <w:spacing w:line="360" w:lineRule="auto"/>
        <w:rPr>
          <w:rFonts w:hint="eastAsia" w:ascii="Segoe UI" w:hAnsi="Segoe UI" w:cs="Segoe UI"/>
          <w:color w:val="auto"/>
          <w:sz w:val="24"/>
          <w:szCs w:val="24"/>
          <w:shd w:val="clear" w:color="auto" w:fill="FFFFFF"/>
        </w:rPr>
      </w:pPr>
    </w:p>
    <w:p w14:paraId="7A39DAFB">
      <w:pPr>
        <w:adjustRightInd w:val="0"/>
        <w:snapToGrid w:val="0"/>
        <w:spacing w:line="360" w:lineRule="auto"/>
        <w:rPr>
          <w:rFonts w:ascii="Segoe UI" w:hAnsi="Segoe UI" w:eastAsia="Segoe UI" w:cs="Segoe UI"/>
          <w:color w:val="auto"/>
          <w:sz w:val="24"/>
          <w:szCs w:val="24"/>
          <w:shd w:val="clear" w:color="auto" w:fill="FFFFFF"/>
        </w:rPr>
      </w:pPr>
    </w:p>
    <w:tbl>
      <w:tblPr>
        <w:tblStyle w:val="7"/>
        <w:tblW w:w="0" w:type="auto"/>
        <w:tblInd w:w="0" w:type="dxa"/>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Layout w:type="autofit"/>
        <w:tblCellMar>
          <w:top w:w="0" w:type="dxa"/>
          <w:left w:w="108" w:type="dxa"/>
          <w:bottom w:w="0" w:type="dxa"/>
          <w:right w:w="108" w:type="dxa"/>
        </w:tblCellMar>
      </w:tblPr>
      <w:tblGrid>
        <w:gridCol w:w="4371"/>
        <w:gridCol w:w="4151"/>
      </w:tblGrid>
      <w:tr w14:paraId="42FE4C57">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551" w:hRule="atLeast"/>
        </w:trPr>
        <w:tc>
          <w:tcPr>
            <w:tcW w:w="4938" w:type="dxa"/>
            <w:tcBorders>
              <w:tl2br w:val="nil"/>
              <w:tr2bl w:val="nil"/>
            </w:tcBorders>
            <w:vAlign w:val="center"/>
          </w:tcPr>
          <w:p w14:paraId="14978A86">
            <w:pPr>
              <w:adjustRightInd w:val="0"/>
              <w:snapToGrid w:val="0"/>
              <w:rPr>
                <w:rFonts w:ascii="宋体" w:hAnsi="宋体" w:cs="宋体"/>
                <w:color w:val="auto"/>
                <w:sz w:val="21"/>
                <w:szCs w:val="21"/>
              </w:rPr>
            </w:pPr>
            <w:bookmarkStart w:id="0" w:name="_Hlk209774821"/>
            <w:r>
              <w:rPr>
                <w:rFonts w:hint="eastAsia" w:ascii="宋体" w:hAnsi="宋体" w:cs="宋体"/>
                <w:color w:val="auto"/>
                <w:sz w:val="21"/>
                <w:szCs w:val="21"/>
              </w:rPr>
              <w:t>甲    方（盖 章）：</w:t>
            </w:r>
          </w:p>
        </w:tc>
        <w:tc>
          <w:tcPr>
            <w:tcW w:w="4616" w:type="dxa"/>
            <w:tcBorders>
              <w:tl2br w:val="nil"/>
              <w:tr2bl w:val="nil"/>
            </w:tcBorders>
            <w:vAlign w:val="center"/>
          </w:tcPr>
          <w:p w14:paraId="50A7D66E">
            <w:pPr>
              <w:adjustRightInd w:val="0"/>
              <w:snapToGrid w:val="0"/>
              <w:rPr>
                <w:rFonts w:ascii="宋体" w:hAnsi="宋体" w:cs="宋体"/>
                <w:color w:val="auto"/>
                <w:sz w:val="21"/>
                <w:szCs w:val="21"/>
              </w:rPr>
            </w:pPr>
            <w:r>
              <w:rPr>
                <w:rFonts w:hint="eastAsia" w:ascii="宋体" w:hAnsi="宋体" w:cs="宋体"/>
                <w:color w:val="auto"/>
                <w:sz w:val="21"/>
                <w:szCs w:val="21"/>
              </w:rPr>
              <w:t xml:space="preserve"> 乙    方（盖 章）：</w:t>
            </w:r>
          </w:p>
        </w:tc>
      </w:tr>
      <w:tr w14:paraId="0BCC1133">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641" w:hRule="atLeast"/>
        </w:trPr>
        <w:tc>
          <w:tcPr>
            <w:tcW w:w="4938" w:type="dxa"/>
            <w:tcBorders>
              <w:tl2br w:val="nil"/>
              <w:tr2bl w:val="nil"/>
            </w:tcBorders>
            <w:vAlign w:val="center"/>
          </w:tcPr>
          <w:p w14:paraId="62E54EDD">
            <w:pPr>
              <w:adjustRightInd w:val="0"/>
              <w:snapToGrid w:val="0"/>
              <w:rPr>
                <w:rFonts w:ascii="宋体" w:hAnsi="宋体" w:cs="宋体"/>
                <w:color w:val="auto"/>
                <w:sz w:val="21"/>
                <w:szCs w:val="21"/>
              </w:rPr>
            </w:pPr>
            <w:r>
              <w:rPr>
                <w:rFonts w:hint="eastAsia" w:ascii="宋体" w:hAnsi="宋体" w:cs="宋体"/>
                <w:color w:val="auto"/>
                <w:sz w:val="21"/>
                <w:szCs w:val="21"/>
              </w:rPr>
              <w:t>广州圆爱康生物科技有限公司</w:t>
            </w:r>
          </w:p>
        </w:tc>
        <w:tc>
          <w:tcPr>
            <w:tcW w:w="4616" w:type="dxa"/>
            <w:tcBorders>
              <w:tl2br w:val="nil"/>
              <w:tr2bl w:val="nil"/>
            </w:tcBorders>
            <w:vAlign w:val="center"/>
          </w:tcPr>
          <w:p w14:paraId="4D9DF984">
            <w:pPr>
              <w:adjustRightInd w:val="0"/>
              <w:snapToGrid w:val="0"/>
              <w:rPr>
                <w:rFonts w:ascii="宋体" w:hAnsi="宋体" w:cs="宋体"/>
                <w:color w:val="auto"/>
                <w:sz w:val="21"/>
                <w:szCs w:val="21"/>
              </w:rPr>
            </w:pPr>
            <w:r>
              <w:rPr>
                <w:rFonts w:hint="eastAsia" w:ascii="宋体" w:hAnsi="宋体" w:cs="宋体"/>
                <w:color w:val="auto"/>
                <w:sz w:val="21"/>
                <w:szCs w:val="21"/>
              </w:rPr>
              <w:t>公司</w:t>
            </w:r>
          </w:p>
        </w:tc>
      </w:tr>
      <w:tr w14:paraId="2CD583CC">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816" w:hRule="atLeast"/>
        </w:trPr>
        <w:tc>
          <w:tcPr>
            <w:tcW w:w="4938" w:type="dxa"/>
            <w:tcBorders>
              <w:tl2br w:val="nil"/>
              <w:tr2bl w:val="nil"/>
            </w:tcBorders>
            <w:vAlign w:val="center"/>
          </w:tcPr>
          <w:p w14:paraId="31C1C21A">
            <w:pPr>
              <w:adjustRightInd w:val="0"/>
              <w:snapToGrid w:val="0"/>
              <w:rPr>
                <w:rFonts w:ascii="宋体" w:hAnsi="宋体" w:cs="宋体"/>
                <w:color w:val="auto"/>
                <w:sz w:val="21"/>
                <w:szCs w:val="21"/>
              </w:rPr>
            </w:pPr>
            <w:r>
              <w:rPr>
                <w:rFonts w:hint="eastAsia" w:ascii="宋体" w:hAnsi="宋体" w:cs="宋体"/>
                <w:color w:val="auto"/>
                <w:sz w:val="21"/>
                <w:szCs w:val="21"/>
              </w:rPr>
              <w:t>委 托 人（签字）：</w:t>
            </w:r>
          </w:p>
        </w:tc>
        <w:tc>
          <w:tcPr>
            <w:tcW w:w="4616" w:type="dxa"/>
            <w:tcBorders>
              <w:tl2br w:val="nil"/>
              <w:tr2bl w:val="nil"/>
            </w:tcBorders>
            <w:vAlign w:val="center"/>
          </w:tcPr>
          <w:p w14:paraId="1DA321B0">
            <w:pPr>
              <w:adjustRightInd w:val="0"/>
              <w:snapToGrid w:val="0"/>
              <w:rPr>
                <w:rFonts w:ascii="宋体" w:hAnsi="宋体" w:cs="宋体"/>
                <w:color w:val="auto"/>
                <w:sz w:val="21"/>
                <w:szCs w:val="21"/>
              </w:rPr>
            </w:pPr>
            <w:r>
              <w:rPr>
                <w:rFonts w:hint="eastAsia" w:ascii="宋体" w:hAnsi="宋体" w:cs="宋体"/>
                <w:color w:val="auto"/>
                <w:sz w:val="21"/>
                <w:szCs w:val="21"/>
              </w:rPr>
              <w:t>委 托 人（签字）：</w:t>
            </w:r>
          </w:p>
        </w:tc>
      </w:tr>
      <w:tr w14:paraId="5AAED32D">
        <w:tblPrEx>
          <w:tblBorders>
            <w:top w:val="single" w:color="F1F1F1" w:sz="4" w:space="0"/>
            <w:left w:val="single" w:color="F1F1F1" w:sz="4" w:space="0"/>
            <w:bottom w:val="single" w:color="F1F1F1" w:sz="4" w:space="0"/>
            <w:right w:val="single" w:color="F1F1F1" w:sz="4" w:space="0"/>
            <w:insideH w:val="single" w:color="F1F1F1" w:sz="4" w:space="0"/>
            <w:insideV w:val="single" w:color="F1F1F1" w:sz="4" w:space="0"/>
          </w:tblBorders>
          <w:tblCellMar>
            <w:top w:w="0" w:type="dxa"/>
            <w:left w:w="108" w:type="dxa"/>
            <w:bottom w:w="0" w:type="dxa"/>
            <w:right w:w="108" w:type="dxa"/>
          </w:tblCellMar>
        </w:tblPrEx>
        <w:trPr>
          <w:trHeight w:val="781" w:hRule="atLeast"/>
        </w:trPr>
        <w:tc>
          <w:tcPr>
            <w:tcW w:w="4938" w:type="dxa"/>
            <w:tcBorders>
              <w:tl2br w:val="nil"/>
              <w:tr2bl w:val="nil"/>
            </w:tcBorders>
            <w:vAlign w:val="bottom"/>
          </w:tcPr>
          <w:p w14:paraId="4BBC4741">
            <w:pPr>
              <w:adjustRightInd w:val="0"/>
              <w:snapToGrid w:val="0"/>
              <w:rPr>
                <w:rFonts w:ascii="宋体" w:hAnsi="宋体" w:cs="宋体"/>
                <w:color w:val="auto"/>
                <w:sz w:val="21"/>
                <w:szCs w:val="21"/>
              </w:rPr>
            </w:pPr>
            <w:r>
              <w:rPr>
                <w:rFonts w:hint="eastAsia" w:ascii="宋体" w:hAnsi="宋体" w:cs="宋体"/>
                <w:color w:val="auto"/>
                <w:sz w:val="21"/>
                <w:szCs w:val="21"/>
              </w:rPr>
              <w:t xml:space="preserve">  年    月    日</w:t>
            </w:r>
          </w:p>
        </w:tc>
        <w:tc>
          <w:tcPr>
            <w:tcW w:w="4616" w:type="dxa"/>
            <w:tcBorders>
              <w:tl2br w:val="nil"/>
              <w:tr2bl w:val="nil"/>
            </w:tcBorders>
            <w:vAlign w:val="bottom"/>
          </w:tcPr>
          <w:p w14:paraId="47921DA3">
            <w:pPr>
              <w:adjustRightInd w:val="0"/>
              <w:snapToGrid w:val="0"/>
              <w:ind w:firstLine="630" w:firstLineChars="300"/>
              <w:rPr>
                <w:rFonts w:ascii="宋体" w:hAnsi="宋体" w:cs="宋体"/>
                <w:color w:val="auto"/>
                <w:sz w:val="21"/>
                <w:szCs w:val="21"/>
              </w:rPr>
            </w:pPr>
            <w:r>
              <w:rPr>
                <w:rFonts w:hint="eastAsia" w:ascii="宋体" w:hAnsi="宋体" w:cs="宋体"/>
                <w:color w:val="auto"/>
                <w:sz w:val="21"/>
                <w:szCs w:val="21"/>
              </w:rPr>
              <w:t>年   月   日</w:t>
            </w:r>
          </w:p>
        </w:tc>
      </w:tr>
      <w:bookmarkEnd w:id="0"/>
    </w:tbl>
    <w:p w14:paraId="438D178D">
      <w:pPr>
        <w:adjustRightInd w:val="0"/>
        <w:snapToGrid w:val="0"/>
        <w:spacing w:line="360" w:lineRule="auto"/>
        <w:rPr>
          <w:rFonts w:ascii="宋体" w:hAnsi="宋体" w:cs="宋体"/>
          <w:b/>
          <w:color w:val="auto"/>
          <w:sz w:val="21"/>
          <w:szCs w:val="21"/>
        </w:rPr>
      </w:pPr>
    </w:p>
    <w:p w14:paraId="038B362D">
      <w:pPr>
        <w:adjustRightInd w:val="0"/>
        <w:snapToGrid w:val="0"/>
        <w:spacing w:line="360" w:lineRule="auto"/>
        <w:rPr>
          <w:rFonts w:ascii="宋体" w:hAnsi="宋体" w:cs="宋体"/>
          <w:b/>
          <w:color w:val="auto"/>
          <w:sz w:val="21"/>
          <w:szCs w:val="21"/>
        </w:rPr>
      </w:pPr>
    </w:p>
    <w:p w14:paraId="1F23F31D">
      <w:pPr>
        <w:adjustRightInd w:val="0"/>
        <w:snapToGrid w:val="0"/>
        <w:spacing w:line="360" w:lineRule="auto"/>
        <w:rPr>
          <w:rFonts w:hint="eastAsia" w:ascii="宋体" w:hAnsi="宋体" w:cs="宋体"/>
          <w:b/>
          <w:color w:val="auto"/>
          <w:sz w:val="21"/>
          <w:szCs w:val="21"/>
          <w:lang w:val="en-US" w:eastAsia="zh-CN"/>
        </w:rPr>
      </w:pPr>
    </w:p>
    <w:p w14:paraId="0BBD7202">
      <w:pPr>
        <w:adjustRightInd w:val="0"/>
        <w:snapToGrid w:val="0"/>
        <w:spacing w:line="360" w:lineRule="auto"/>
        <w:rPr>
          <w:rFonts w:hint="eastAsia" w:ascii="宋体" w:hAnsi="宋体" w:cs="宋体"/>
          <w:b/>
          <w:color w:val="auto"/>
          <w:sz w:val="21"/>
          <w:szCs w:val="21"/>
          <w:lang w:val="en-US" w:eastAsia="zh-CN"/>
        </w:rPr>
      </w:pPr>
    </w:p>
    <w:p w14:paraId="550B6E41">
      <w:pPr>
        <w:adjustRightInd w:val="0"/>
        <w:snapToGrid w:val="0"/>
        <w:spacing w:line="360" w:lineRule="auto"/>
        <w:rPr>
          <w:rFonts w:hint="eastAsia" w:ascii="宋体" w:hAnsi="宋体" w:cs="宋体"/>
          <w:b/>
          <w:color w:val="auto"/>
          <w:sz w:val="21"/>
          <w:szCs w:val="21"/>
          <w:lang w:val="en-US" w:eastAsia="zh-CN"/>
        </w:rPr>
      </w:pPr>
    </w:p>
    <w:p w14:paraId="395AC39E">
      <w:pPr>
        <w:adjustRightInd w:val="0"/>
        <w:snapToGrid w:val="0"/>
        <w:spacing w:line="360" w:lineRule="auto"/>
        <w:rPr>
          <w:rFonts w:hint="eastAsia" w:ascii="宋体" w:hAnsi="宋体" w:cs="宋体"/>
          <w:b/>
          <w:color w:val="auto"/>
          <w:sz w:val="21"/>
          <w:szCs w:val="21"/>
          <w:lang w:val="en-US" w:eastAsia="zh-CN"/>
        </w:rPr>
      </w:pPr>
    </w:p>
    <w:p w14:paraId="6F076BE1">
      <w:pPr>
        <w:adjustRightInd w:val="0"/>
        <w:snapToGrid w:val="0"/>
        <w:spacing w:line="360" w:lineRule="auto"/>
        <w:rPr>
          <w:rFonts w:hint="eastAsia" w:ascii="宋体" w:hAnsi="宋体" w:cs="宋体"/>
          <w:b/>
          <w:color w:val="auto"/>
          <w:sz w:val="21"/>
          <w:szCs w:val="21"/>
          <w:lang w:val="en-US" w:eastAsia="zh-CN"/>
        </w:rPr>
      </w:pPr>
      <w:r>
        <w:rPr>
          <w:rFonts w:hint="eastAsia" w:ascii="宋体" w:hAnsi="宋体" w:cs="宋体"/>
          <w:b/>
          <w:color w:val="auto"/>
          <w:sz w:val="21"/>
          <w:szCs w:val="21"/>
          <w:lang w:val="en-US" w:eastAsia="zh-CN"/>
        </w:rPr>
        <w:t>附件一</w:t>
      </w:r>
    </w:p>
    <w:p w14:paraId="5660D171">
      <w:pPr>
        <w:keepNext w:val="0"/>
        <w:keepLines w:val="0"/>
        <w:widowControl/>
        <w:suppressLineNumbers w:val="0"/>
        <w:spacing w:before="0" w:beforeAutospacing="0" w:after="0" w:afterAutospacing="0" w:line="240" w:lineRule="auto"/>
        <w:ind w:left="0" w:right="0"/>
        <w:jc w:val="center"/>
        <w:rPr>
          <w:rFonts w:hint="eastAsia"/>
          <w:color w:val="auto"/>
          <w:lang w:val="en-US" w:eastAsia="zh-CN"/>
        </w:rPr>
      </w:pPr>
      <w:r>
        <w:rPr>
          <w:rFonts w:hint="eastAsia" w:ascii="宋体" w:hAnsi="宋体" w:eastAsia="宋体" w:cs="宋体"/>
          <w:b/>
          <w:bCs/>
          <w:i w:val="0"/>
          <w:iCs w:val="0"/>
          <w:color w:val="auto"/>
          <w:kern w:val="0"/>
          <w:sz w:val="36"/>
          <w:szCs w:val="36"/>
          <w:u w:val="none"/>
          <w:lang w:val="en-US" w:eastAsia="zh-CN" w:bidi="ar"/>
        </w:rPr>
        <w:t>居家服务项目价格表</w:t>
      </w:r>
    </w:p>
    <w:tbl>
      <w:tblPr>
        <w:tblStyle w:val="6"/>
        <w:tblW w:w="9901" w:type="dxa"/>
        <w:tblInd w:w="-54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5"/>
        <w:gridCol w:w="1075"/>
        <w:gridCol w:w="1756"/>
        <w:gridCol w:w="2844"/>
        <w:gridCol w:w="1204"/>
        <w:gridCol w:w="665"/>
        <w:gridCol w:w="616"/>
        <w:gridCol w:w="1076"/>
      </w:tblGrid>
      <w:tr w14:paraId="598F4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9" w:hRule="atLeast"/>
        </w:trPr>
        <w:tc>
          <w:tcPr>
            <w:tcW w:w="6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A457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服务分类</w:t>
            </w:r>
          </w:p>
        </w:tc>
        <w:tc>
          <w:tcPr>
            <w:tcW w:w="10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1C0D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服务项目</w:t>
            </w:r>
          </w:p>
        </w:tc>
        <w:tc>
          <w:tcPr>
            <w:tcW w:w="175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C472C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服务项目内容</w:t>
            </w:r>
          </w:p>
        </w:tc>
        <w:tc>
          <w:tcPr>
            <w:tcW w:w="28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F3D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适应症</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BC8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医院收入</w:t>
            </w:r>
          </w:p>
        </w:tc>
        <w:tc>
          <w:tcPr>
            <w:tcW w:w="1281"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E53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协同服务费</w:t>
            </w:r>
          </w:p>
        </w:tc>
        <w:tc>
          <w:tcPr>
            <w:tcW w:w="1076" w:type="dxa"/>
            <w:vMerge w:val="restart"/>
            <w:tcBorders>
              <w:top w:val="single" w:color="000000" w:sz="4" w:space="0"/>
              <w:left w:val="single" w:color="000000" w:sz="4" w:space="0"/>
              <w:right w:val="single" w:color="000000" w:sz="4" w:space="0"/>
            </w:tcBorders>
            <w:shd w:val="clear" w:color="auto" w:fill="auto"/>
            <w:vAlign w:val="center"/>
          </w:tcPr>
          <w:p w14:paraId="2E3D8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项目总价</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（元）</w:t>
            </w:r>
          </w:p>
        </w:tc>
      </w:tr>
      <w:tr w14:paraId="5570A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8" w:hRule="atLeast"/>
        </w:trPr>
        <w:tc>
          <w:tcPr>
            <w:tcW w:w="6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F02450">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auto"/>
                <w:sz w:val="21"/>
                <w:szCs w:val="21"/>
                <w:u w:val="none"/>
              </w:rPr>
            </w:pPr>
          </w:p>
        </w:tc>
        <w:tc>
          <w:tcPr>
            <w:tcW w:w="10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336867">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auto"/>
                <w:sz w:val="21"/>
                <w:szCs w:val="21"/>
                <w:u w:val="none"/>
              </w:rPr>
            </w:pPr>
          </w:p>
        </w:tc>
        <w:tc>
          <w:tcPr>
            <w:tcW w:w="175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E7E748">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auto"/>
                <w:sz w:val="21"/>
                <w:szCs w:val="21"/>
                <w:u w:val="none"/>
              </w:rPr>
            </w:pPr>
          </w:p>
        </w:tc>
        <w:tc>
          <w:tcPr>
            <w:tcW w:w="28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EA11BE3">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auto"/>
                <w:sz w:val="21"/>
                <w:szCs w:val="21"/>
                <w:u w:val="none"/>
              </w:rPr>
            </w:pP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4EF2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管理费</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133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服务费</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14B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耗材</w:t>
            </w:r>
          </w:p>
        </w:tc>
        <w:tc>
          <w:tcPr>
            <w:tcW w:w="1076" w:type="dxa"/>
            <w:vMerge w:val="continue"/>
            <w:tcBorders>
              <w:left w:val="single" w:color="000000" w:sz="4" w:space="0"/>
              <w:right w:val="single" w:color="000000" w:sz="4" w:space="0"/>
            </w:tcBorders>
            <w:shd w:val="clear" w:color="auto" w:fill="auto"/>
            <w:vAlign w:val="center"/>
          </w:tcPr>
          <w:p w14:paraId="3A768F0D">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i w:val="0"/>
                <w:iCs w:val="0"/>
                <w:color w:val="auto"/>
                <w:sz w:val="21"/>
                <w:szCs w:val="21"/>
                <w:u w:val="none"/>
              </w:rPr>
            </w:pPr>
          </w:p>
        </w:tc>
      </w:tr>
      <w:tr w14:paraId="44081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5" w:hRule="atLeast"/>
        </w:trPr>
        <w:tc>
          <w:tcPr>
            <w:tcW w:w="665" w:type="dxa"/>
            <w:vMerge w:val="restart"/>
            <w:tcBorders>
              <w:top w:val="single" w:color="000000" w:sz="4" w:space="0"/>
              <w:left w:val="single" w:color="000000" w:sz="4" w:space="0"/>
              <w:right w:val="single" w:color="000000" w:sz="4" w:space="0"/>
            </w:tcBorders>
            <w:shd w:val="clear" w:color="auto" w:fill="auto"/>
            <w:noWrap/>
            <w:vAlign w:val="center"/>
          </w:tcPr>
          <w:p w14:paraId="7CF02A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b/>
                <w:bCs/>
                <w:i w:val="0"/>
                <w:iCs w:val="0"/>
                <w:color w:val="auto"/>
                <w:sz w:val="21"/>
                <w:szCs w:val="21"/>
                <w:u w:val="none"/>
                <w:lang w:val="en-US" w:eastAsia="zh-CN"/>
              </w:rPr>
              <w:t>妇科</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427A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盆底康复</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9F1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包括:阴道内表面肌电评估及报告3次，10次为一个疗程。</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AF7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1、产后盆底功能恢复</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2、压力性尿失禁</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3、子宫脱垂(轻、中度)</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4、阴道前后壁膨出</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5、粪失禁</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6、顽固性便秘</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7、女性性功能障碍(性唤起障碍、性交痛)</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8、慢性盆腔痛(梨状肌综合症)</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7B2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800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3E6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720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AE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280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D11D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1800 </w:t>
            </w:r>
          </w:p>
        </w:tc>
      </w:tr>
      <w:tr w14:paraId="0BA13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6" w:hRule="atLeast"/>
        </w:trPr>
        <w:tc>
          <w:tcPr>
            <w:tcW w:w="665" w:type="dxa"/>
            <w:vMerge w:val="continue"/>
            <w:tcBorders>
              <w:left w:val="single" w:color="000000" w:sz="4" w:space="0"/>
              <w:right w:val="single" w:color="000000" w:sz="4" w:space="0"/>
            </w:tcBorders>
            <w:shd w:val="clear" w:color="auto" w:fill="auto"/>
            <w:noWrap/>
            <w:vAlign w:val="center"/>
          </w:tcPr>
          <w:p w14:paraId="0BBF9C9C">
            <w:pPr>
              <w:keepNext w:val="0"/>
              <w:keepLines w:val="0"/>
              <w:widowControl/>
              <w:suppressLineNumbers w:val="0"/>
              <w:spacing w:before="0" w:beforeAutospacing="0" w:after="0" w:afterAutospacing="0" w:line="240" w:lineRule="auto"/>
              <w:ind w:left="0" w:right="0"/>
              <w:jc w:val="both"/>
              <w:rPr>
                <w:rFonts w:hint="eastAsia" w:asciiTheme="minorEastAsia" w:hAnsiTheme="minorEastAsia" w:eastAsiaTheme="minorEastAsia" w:cstheme="minorEastAsia"/>
                <w:b/>
                <w:bCs/>
                <w:i w:val="0"/>
                <w:iCs w:val="0"/>
                <w:color w:val="auto"/>
                <w:sz w:val="21"/>
                <w:szCs w:val="21"/>
                <w:u w:val="none"/>
                <w:lang w:val="en-US" w:eastAsia="zh-CN"/>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8C0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人流康复</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AE13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10次一疗程，赠送5次</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C98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1、人流术后子宫复旧理疗</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2、人流术后腰背疼痛</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EF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800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1171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740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3C6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60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A14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1600 </w:t>
            </w:r>
          </w:p>
        </w:tc>
      </w:tr>
      <w:tr w14:paraId="682C4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4" w:hRule="atLeast"/>
        </w:trPr>
        <w:tc>
          <w:tcPr>
            <w:tcW w:w="665" w:type="dxa"/>
            <w:vMerge w:val="continue"/>
            <w:tcBorders>
              <w:left w:val="single" w:color="000000" w:sz="4" w:space="0"/>
              <w:right w:val="single" w:color="000000" w:sz="4" w:space="0"/>
            </w:tcBorders>
            <w:shd w:val="clear" w:color="auto" w:fill="auto"/>
            <w:noWrap/>
            <w:vAlign w:val="center"/>
          </w:tcPr>
          <w:p w14:paraId="6DEF3F30">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auto"/>
                <w:sz w:val="21"/>
                <w:szCs w:val="21"/>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2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痛经</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E69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10次一疗程，赠送5次</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CDA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1、止痛</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2、盆腔炎引发的疼痛</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3、原发或继发的痛经</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84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800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693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740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7701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60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23A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1600 </w:t>
            </w:r>
          </w:p>
        </w:tc>
      </w:tr>
      <w:tr w14:paraId="2B8AB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29" w:hRule="atLeast"/>
        </w:trPr>
        <w:tc>
          <w:tcPr>
            <w:tcW w:w="665" w:type="dxa"/>
            <w:vMerge w:val="continue"/>
            <w:tcBorders>
              <w:left w:val="single" w:color="000000" w:sz="4" w:space="0"/>
              <w:bottom w:val="single" w:color="000000" w:sz="4" w:space="0"/>
              <w:right w:val="single" w:color="000000" w:sz="4" w:space="0"/>
            </w:tcBorders>
            <w:shd w:val="clear" w:color="auto" w:fill="auto"/>
            <w:noWrap/>
            <w:vAlign w:val="center"/>
          </w:tcPr>
          <w:p w14:paraId="59D5569F">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auto"/>
                <w:sz w:val="21"/>
                <w:szCs w:val="21"/>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8E9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子宫复旧</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B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10次一疗程，赠送5次</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9E4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1、有生育需求的</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2、试管移植前子宫内膜薄</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3、子宫内膜薄、内膜血流灌注不佳</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4、经历过宫腔手术</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5、习惯性流产</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330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800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C11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740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4472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60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0138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1600 </w:t>
            </w:r>
          </w:p>
        </w:tc>
      </w:tr>
      <w:tr w14:paraId="4096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29" w:hRule="atLeast"/>
        </w:trPr>
        <w:tc>
          <w:tcPr>
            <w:tcW w:w="6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193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b/>
                <w:bCs/>
                <w:i w:val="0"/>
                <w:iCs w:val="0"/>
                <w:color w:val="auto"/>
                <w:sz w:val="21"/>
                <w:szCs w:val="21"/>
                <w:u w:val="none"/>
              </w:rPr>
            </w:pPr>
            <w:r>
              <w:rPr>
                <w:rFonts w:hint="eastAsia" w:asciiTheme="minorEastAsia" w:hAnsiTheme="minorEastAsia" w:eastAsiaTheme="minorEastAsia" w:cstheme="minorEastAsia"/>
                <w:b/>
                <w:bCs/>
                <w:i w:val="0"/>
                <w:iCs w:val="0"/>
                <w:color w:val="auto"/>
                <w:kern w:val="0"/>
                <w:sz w:val="21"/>
                <w:szCs w:val="21"/>
                <w:u w:val="none"/>
                <w:lang w:val="en-US" w:eastAsia="zh-CN" w:bidi="ar"/>
              </w:rPr>
              <w:t>生殖科</w:t>
            </w:r>
          </w:p>
        </w:tc>
        <w:tc>
          <w:tcPr>
            <w:tcW w:w="10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DDD09">
            <w:pPr>
              <w:keepNext w:val="0"/>
              <w:keepLines w:val="0"/>
              <w:widowControl/>
              <w:suppressLineNumbers w:val="0"/>
              <w:spacing w:before="0" w:beforeAutospacing="0" w:after="0" w:afterAutospacing="0" w:line="240" w:lineRule="auto"/>
              <w:ind w:left="0" w:right="0"/>
              <w:jc w:val="left"/>
              <w:textAlignment w:val="center"/>
              <w:rPr>
                <w:rFonts w:hint="default" w:asciiTheme="minorEastAsia" w:hAnsiTheme="minorEastAsia" w:eastAsiaTheme="minorEastAsia" w:cstheme="minorEastAsia"/>
                <w:i w:val="0"/>
                <w:iCs w:val="0"/>
                <w:color w:val="auto"/>
                <w:sz w:val="21"/>
                <w:szCs w:val="21"/>
                <w:u w:val="none"/>
                <w:lang w:val="en-US"/>
              </w:rPr>
            </w:pPr>
            <w:r>
              <w:rPr>
                <w:rFonts w:hint="eastAsia" w:asciiTheme="minorEastAsia" w:hAnsiTheme="minorEastAsia" w:eastAsiaTheme="minorEastAsia" w:cstheme="minorEastAsia"/>
                <w:i w:val="0"/>
                <w:iCs w:val="0"/>
                <w:color w:val="auto"/>
                <w:kern w:val="0"/>
                <w:sz w:val="21"/>
                <w:szCs w:val="21"/>
                <w:u w:val="none"/>
                <w:lang w:val="en-US" w:eastAsia="zh-CN" w:bidi="ar"/>
              </w:rPr>
              <w:t>生殖保养</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（内膜增厚）-阴道电极版</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82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10次一疗程，赠送5次</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AA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1、有生育需求的</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2、试管移植前子宫内膜薄</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3、子宫内膜薄、内膜血流灌注不佳</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4、经历过宫腔手术</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5、习惯性流产</w:t>
            </w:r>
          </w:p>
        </w:tc>
        <w:tc>
          <w:tcPr>
            <w:tcW w:w="12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C4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1000</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D3D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720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3B1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280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F5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2000 </w:t>
            </w:r>
          </w:p>
        </w:tc>
      </w:tr>
      <w:tr w14:paraId="09D2C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6" w:hRule="atLeast"/>
        </w:trPr>
        <w:tc>
          <w:tcPr>
            <w:tcW w:w="665" w:type="dxa"/>
            <w:vMerge w:val="restart"/>
            <w:tcBorders>
              <w:top w:val="single" w:color="000000" w:sz="4" w:space="0"/>
              <w:left w:val="single" w:color="000000" w:sz="4" w:space="0"/>
              <w:right w:val="single" w:color="000000" w:sz="4" w:space="0"/>
            </w:tcBorders>
            <w:shd w:val="clear" w:color="auto" w:fill="auto"/>
            <w:vAlign w:val="center"/>
          </w:tcPr>
          <w:p w14:paraId="67E1F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b/>
                <w:bCs/>
                <w:i w:val="0"/>
                <w:iCs w:val="0"/>
                <w:color w:val="auto"/>
                <w:sz w:val="21"/>
                <w:szCs w:val="21"/>
                <w:u w:val="none"/>
              </w:rPr>
            </w:pPr>
            <w:r>
              <w:rPr>
                <w:rFonts w:hint="eastAsia" w:asciiTheme="minorEastAsia" w:hAnsiTheme="minorEastAsia" w:eastAsiaTheme="minorEastAsia" w:cstheme="minorEastAsia"/>
                <w:b/>
                <w:bCs/>
                <w:i w:val="0"/>
                <w:iCs w:val="0"/>
                <w:color w:val="auto"/>
                <w:kern w:val="0"/>
                <w:sz w:val="21"/>
                <w:szCs w:val="21"/>
                <w:u w:val="none"/>
                <w:lang w:val="en-US" w:eastAsia="zh-CN" w:bidi="ar"/>
              </w:rPr>
              <w:t>产科</w:t>
            </w: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9FF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产后康复</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D84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1.产后子宫复旧2.产后泌乳</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3.产后尿潴留4、产后腰背痛；一个疗程42天，包括：全部5项服务内容，不限项目及次数</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71E8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1、分娩后需要加速子宫恢复</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2、流产或人工流产后</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3、各种原因导致子宫健康状况不佳</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4、产后或人流术后腰背疼痛</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5、母乳不足、乳汁淤积、人流术后乳腺保养;</w:t>
            </w:r>
          </w:p>
        </w:tc>
        <w:tc>
          <w:tcPr>
            <w:tcW w:w="12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E12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1000</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03A4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860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B4A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140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ECF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2000 </w:t>
            </w:r>
          </w:p>
        </w:tc>
      </w:tr>
      <w:tr w14:paraId="60FEA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8" w:hRule="atLeast"/>
        </w:trPr>
        <w:tc>
          <w:tcPr>
            <w:tcW w:w="665" w:type="dxa"/>
            <w:vMerge w:val="continue"/>
            <w:tcBorders>
              <w:left w:val="single" w:color="000000" w:sz="4" w:space="0"/>
              <w:right w:val="single" w:color="000000" w:sz="4" w:space="0"/>
            </w:tcBorders>
            <w:shd w:val="clear" w:color="auto" w:fill="auto"/>
            <w:vAlign w:val="center"/>
          </w:tcPr>
          <w:p w14:paraId="7B47CF5D">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auto"/>
                <w:sz w:val="21"/>
                <w:szCs w:val="21"/>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B6E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产后康复综合套餐</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872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1、产后尿储留2.产后子宫复旧</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3.产后泌乳4.产后腰背痛5.产后腹直肌分离6、产后盆底康复；一个疗程75天，42天内的产后康复+42天后一个月的产后综合康复，包括：全部6项服务内容，不限项目及次数</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4C1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1、分娩后需要加速子宫恢复</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2、流产或人工流产后</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3、各种原因导致子宫健康状况不佳</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4、产后或人流术后腰背疼痛</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5、母乳不足、乳汁淤积、人流术后乳腺保养;</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830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1692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5552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1227</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6204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465</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64D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3384 </w:t>
            </w:r>
          </w:p>
        </w:tc>
      </w:tr>
      <w:tr w14:paraId="2D15C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13" w:hRule="atLeast"/>
        </w:trPr>
        <w:tc>
          <w:tcPr>
            <w:tcW w:w="665" w:type="dxa"/>
            <w:vMerge w:val="continue"/>
            <w:tcBorders>
              <w:left w:val="single" w:color="000000" w:sz="4" w:space="0"/>
              <w:right w:val="single" w:color="000000" w:sz="4" w:space="0"/>
            </w:tcBorders>
            <w:shd w:val="clear" w:color="auto" w:fill="auto"/>
            <w:vAlign w:val="center"/>
          </w:tcPr>
          <w:p w14:paraId="21EA334F">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auto"/>
                <w:sz w:val="21"/>
                <w:szCs w:val="21"/>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73F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产后腹直肌分离</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32FD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10次一疗程，赠送3次</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5E51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1、妊娠或多胎妊娠</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2、体重超标或肥胖</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3、高强度运动</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4、有腹部手术史</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0D3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900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3F00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760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E0F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140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E84D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i w:val="0"/>
                <w:iCs w:val="0"/>
                <w:color w:val="auto"/>
                <w:sz w:val="21"/>
                <w:szCs w:val="21"/>
                <w:u w:val="none"/>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1800 </w:t>
            </w:r>
          </w:p>
        </w:tc>
      </w:tr>
      <w:tr w14:paraId="05A79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13" w:hRule="atLeast"/>
        </w:trPr>
        <w:tc>
          <w:tcPr>
            <w:tcW w:w="665" w:type="dxa"/>
            <w:vMerge w:val="continue"/>
            <w:tcBorders>
              <w:left w:val="single" w:color="000000" w:sz="4" w:space="0"/>
              <w:right w:val="single" w:color="000000" w:sz="4" w:space="0"/>
            </w:tcBorders>
            <w:shd w:val="clear" w:color="auto" w:fill="auto"/>
            <w:vAlign w:val="center"/>
          </w:tcPr>
          <w:p w14:paraId="5AF26F7C">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auto"/>
                <w:sz w:val="21"/>
                <w:szCs w:val="21"/>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67C10">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产后镇痛/泌乳</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07080">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10次一疗程，赠送3次</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0AA26">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1、产后或人流术后子宫复旧理疗</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2、产后或人流术后腰背疼痛</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3、母乳不足、乳汁淤积、人流术后乳腺保养</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6EBA9">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800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5A5045">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740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6450D1">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60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5354AC">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1600 </w:t>
            </w:r>
          </w:p>
        </w:tc>
      </w:tr>
      <w:tr w14:paraId="044BD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13" w:hRule="atLeast"/>
        </w:trPr>
        <w:tc>
          <w:tcPr>
            <w:tcW w:w="665" w:type="dxa"/>
            <w:vMerge w:val="continue"/>
            <w:tcBorders>
              <w:left w:val="single" w:color="000000" w:sz="4" w:space="0"/>
              <w:right w:val="single" w:color="000000" w:sz="4" w:space="0"/>
            </w:tcBorders>
            <w:shd w:val="clear" w:color="auto" w:fill="auto"/>
            <w:vAlign w:val="center"/>
          </w:tcPr>
          <w:p w14:paraId="4F276AC4">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auto"/>
                <w:sz w:val="21"/>
                <w:szCs w:val="21"/>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A28428">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产后子宫复旧</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C819D4">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10次一疗程，赠送3次</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4417D">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1、分娩后需要加速子宫恢复</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2、流产或人工流产后</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3、各种原因导致子宫健康状况不佳</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AE2D23">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800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E7B3C5">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740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2AE5DE">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60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522887">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1600 </w:t>
            </w:r>
          </w:p>
        </w:tc>
      </w:tr>
      <w:tr w14:paraId="65502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13" w:hRule="atLeast"/>
        </w:trPr>
        <w:tc>
          <w:tcPr>
            <w:tcW w:w="665" w:type="dxa"/>
            <w:vMerge w:val="continue"/>
            <w:tcBorders>
              <w:left w:val="single" w:color="000000" w:sz="4" w:space="0"/>
              <w:bottom w:val="single" w:color="000000" w:sz="4" w:space="0"/>
              <w:right w:val="single" w:color="000000" w:sz="4" w:space="0"/>
            </w:tcBorders>
            <w:shd w:val="clear" w:color="auto" w:fill="auto"/>
            <w:vAlign w:val="center"/>
          </w:tcPr>
          <w:p w14:paraId="68BEA479">
            <w:pPr>
              <w:keepNext w:val="0"/>
              <w:keepLines w:val="0"/>
              <w:widowControl/>
              <w:suppressLineNumbers w:val="0"/>
              <w:spacing w:before="0" w:beforeAutospacing="0" w:after="0" w:afterAutospacing="0" w:line="240" w:lineRule="auto"/>
              <w:ind w:left="0" w:right="0"/>
              <w:jc w:val="center"/>
              <w:rPr>
                <w:rFonts w:hint="eastAsia" w:asciiTheme="minorEastAsia" w:hAnsiTheme="minorEastAsia" w:eastAsiaTheme="minorEastAsia" w:cstheme="minorEastAsia"/>
                <w:b/>
                <w:bCs/>
                <w:i w:val="0"/>
                <w:iCs w:val="0"/>
                <w:color w:val="auto"/>
                <w:sz w:val="21"/>
                <w:szCs w:val="21"/>
                <w:u w:val="none"/>
              </w:rPr>
            </w:pPr>
          </w:p>
        </w:tc>
        <w:tc>
          <w:tcPr>
            <w:tcW w:w="10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13223">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产后尿潴留</w:t>
            </w:r>
          </w:p>
        </w:tc>
        <w:tc>
          <w:tcPr>
            <w:tcW w:w="17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AE2B3">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10次一疗程，赠送3次</w:t>
            </w:r>
          </w:p>
        </w:tc>
        <w:tc>
          <w:tcPr>
            <w:tcW w:w="28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832A53">
            <w:pPr>
              <w:keepNext w:val="0"/>
              <w:keepLines w:val="0"/>
              <w:widowControl/>
              <w:suppressLineNumbers w:val="0"/>
              <w:spacing w:before="0" w:beforeAutospacing="0" w:after="0" w:afterAutospacing="0" w:line="240" w:lineRule="auto"/>
              <w:ind w:left="0" w:leftChars="0" w:right="0" w:rightChars="0"/>
              <w:jc w:val="left"/>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1、分娩后尿潴留</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2、产后膀胱过度膨胀</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3、盆底肌肉功能减弱</w:t>
            </w:r>
            <w:r>
              <w:rPr>
                <w:rFonts w:hint="eastAsia" w:asciiTheme="minorEastAsia" w:hAnsiTheme="minorEastAsia" w:eastAsiaTheme="minorEastAsia" w:cstheme="minorEastAsia"/>
                <w:i w:val="0"/>
                <w:iCs w:val="0"/>
                <w:color w:val="auto"/>
                <w:kern w:val="0"/>
                <w:sz w:val="21"/>
                <w:szCs w:val="21"/>
                <w:u w:val="none"/>
                <w:lang w:val="en-US" w:eastAsia="zh-CN" w:bidi="ar"/>
              </w:rPr>
              <w:br w:type="textWrapping"/>
            </w:r>
            <w:r>
              <w:rPr>
                <w:rFonts w:hint="eastAsia" w:asciiTheme="minorEastAsia" w:hAnsiTheme="minorEastAsia" w:eastAsiaTheme="minorEastAsia" w:cstheme="minorEastAsia"/>
                <w:i w:val="0"/>
                <w:iCs w:val="0"/>
                <w:color w:val="auto"/>
                <w:kern w:val="0"/>
                <w:sz w:val="21"/>
                <w:szCs w:val="21"/>
                <w:u w:val="none"/>
                <w:lang w:val="en-US" w:eastAsia="zh-CN" w:bidi="ar"/>
              </w:rPr>
              <w:t>4、心理因素导致的排尿困难</w:t>
            </w:r>
          </w:p>
        </w:tc>
        <w:tc>
          <w:tcPr>
            <w:tcW w:w="12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3AE89">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800 </w:t>
            </w:r>
          </w:p>
        </w:tc>
        <w:tc>
          <w:tcPr>
            <w:tcW w:w="66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7591D0">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740</w:t>
            </w:r>
          </w:p>
        </w:tc>
        <w:tc>
          <w:tcPr>
            <w:tcW w:w="6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E6F246">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60</w:t>
            </w:r>
          </w:p>
        </w:tc>
        <w:tc>
          <w:tcPr>
            <w:tcW w:w="10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2299FF">
            <w:pPr>
              <w:keepNext w:val="0"/>
              <w:keepLines w:val="0"/>
              <w:widowControl/>
              <w:suppressLineNumbers w:val="0"/>
              <w:spacing w:before="0" w:beforeAutospacing="0" w:after="0" w:afterAutospacing="0" w:line="240" w:lineRule="auto"/>
              <w:ind w:left="0" w:leftChars="0" w:right="0" w:rightChars="0"/>
              <w:jc w:val="center"/>
              <w:textAlignment w:val="center"/>
              <w:rPr>
                <w:rFonts w:hint="eastAsia" w:asciiTheme="minorEastAsia" w:hAnsiTheme="minorEastAsia" w:eastAsiaTheme="minorEastAsia" w:cstheme="minorEastAsia"/>
                <w:i w:val="0"/>
                <w:iCs w:val="0"/>
                <w:color w:val="auto"/>
                <w:sz w:val="21"/>
                <w:szCs w:val="21"/>
                <w:u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 xml:space="preserve">1600 </w:t>
            </w:r>
          </w:p>
        </w:tc>
      </w:tr>
    </w:tbl>
    <w:p w14:paraId="5B5BBB3F">
      <w:pPr>
        <w:rPr>
          <w:color w:val="auto"/>
        </w:rPr>
      </w:pPr>
    </w:p>
    <w:p w14:paraId="68084E32">
      <w:pPr>
        <w:adjustRightInd w:val="0"/>
        <w:snapToGrid w:val="0"/>
        <w:spacing w:line="360" w:lineRule="auto"/>
        <w:rPr>
          <w:rFonts w:hint="default" w:ascii="宋体" w:hAnsi="宋体" w:cs="宋体"/>
          <w:b/>
          <w:color w:val="auto"/>
          <w:sz w:val="21"/>
          <w:szCs w:val="21"/>
          <w:lang w:val="en-US" w:eastAsia="zh-CN"/>
        </w:rPr>
      </w:pPr>
    </w:p>
    <w:p w14:paraId="2F4E4B4C">
      <w:pPr>
        <w:adjustRightInd w:val="0"/>
        <w:snapToGrid w:val="0"/>
        <w:spacing w:line="360" w:lineRule="auto"/>
        <w:rPr>
          <w:rFonts w:ascii="宋体" w:hAnsi="宋体" w:cs="宋体"/>
          <w:b/>
          <w:color w:val="auto"/>
          <w:sz w:val="21"/>
          <w:szCs w:val="21"/>
        </w:rPr>
      </w:pPr>
    </w:p>
    <w:p w14:paraId="68746704">
      <w:pPr>
        <w:adjustRightInd w:val="0"/>
        <w:snapToGrid w:val="0"/>
        <w:spacing w:line="360" w:lineRule="auto"/>
        <w:rPr>
          <w:rFonts w:ascii="宋体" w:hAnsi="宋体" w:cs="宋体"/>
          <w:b/>
          <w:color w:val="auto"/>
          <w:sz w:val="21"/>
          <w:szCs w:val="21"/>
        </w:rPr>
        <w:sectPr>
          <w:headerReference r:id="rId3" w:type="default"/>
          <w:footerReference r:id="rId4" w:type="default"/>
          <w:pgSz w:w="11906" w:h="16838"/>
          <w:pgMar w:top="1440" w:right="1800" w:bottom="1440" w:left="1800" w:header="680" w:footer="595" w:gutter="0"/>
          <w:cols w:space="720" w:num="1"/>
          <w:docGrid w:type="lines" w:linePitch="312" w:charSpace="0"/>
        </w:sectPr>
      </w:pPr>
    </w:p>
    <w:p w14:paraId="762337D1">
      <w:pPr>
        <w:tabs>
          <w:tab w:val="left" w:pos="5676"/>
        </w:tabs>
        <w:jc w:val="left"/>
        <w:rPr>
          <w:rFonts w:hint="eastAsia" w:eastAsia="宋体"/>
          <w:color w:val="auto"/>
          <w:lang w:eastAsia="zh-CN"/>
        </w:rPr>
      </w:pPr>
    </w:p>
    <w:p w14:paraId="666ADF54">
      <w:pPr>
        <w:adjustRightInd w:val="0"/>
        <w:snapToGrid w:val="0"/>
        <w:spacing w:line="360" w:lineRule="auto"/>
        <w:rPr>
          <w:b/>
          <w:bCs/>
          <w:color w:val="auto"/>
          <w:sz w:val="28"/>
          <w:szCs w:val="28"/>
        </w:rPr>
      </w:pPr>
      <w:r>
        <w:rPr>
          <w:rFonts w:hint="eastAsia" w:ascii="宋体" w:hAnsi="宋体" w:eastAsia="宋体" w:cs="宋体"/>
          <w:b/>
          <w:color w:val="auto"/>
          <w:sz w:val="21"/>
          <w:szCs w:val="21"/>
          <w:lang w:val="en-US" w:eastAsia="zh-CN"/>
        </w:rPr>
        <w:t>附件二</w:t>
      </w:r>
    </w:p>
    <w:p w14:paraId="75DC388E">
      <w:pPr>
        <w:jc w:val="center"/>
        <w:rPr>
          <w:color w:val="auto"/>
          <w:sz w:val="24"/>
          <w:szCs w:val="18"/>
        </w:rPr>
      </w:pPr>
      <w:r>
        <w:rPr>
          <w:rFonts w:hint="eastAsia"/>
          <w:b/>
          <w:bCs/>
          <w:color w:val="auto"/>
          <w:sz w:val="28"/>
          <w:szCs w:val="28"/>
        </w:rPr>
        <w:t>销售任务确认表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2707"/>
        <w:gridCol w:w="2050"/>
        <w:gridCol w:w="2206"/>
        <w:gridCol w:w="1934"/>
        <w:gridCol w:w="183"/>
        <w:gridCol w:w="2317"/>
        <w:gridCol w:w="1003"/>
      </w:tblGrid>
      <w:tr w14:paraId="68AD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74" w:type="dxa"/>
          </w:tcPr>
          <w:p w14:paraId="623CC649">
            <w:pPr>
              <w:rPr>
                <w:color w:val="auto"/>
                <w:sz w:val="24"/>
                <w:szCs w:val="18"/>
              </w:rPr>
            </w:pPr>
          </w:p>
        </w:tc>
        <w:tc>
          <w:tcPr>
            <w:tcW w:w="2707" w:type="dxa"/>
          </w:tcPr>
          <w:p w14:paraId="41A9EEAF">
            <w:pPr>
              <w:rPr>
                <w:b/>
                <w:bCs/>
                <w:color w:val="auto"/>
                <w:sz w:val="24"/>
                <w:szCs w:val="18"/>
              </w:rPr>
            </w:pPr>
            <w:r>
              <w:rPr>
                <w:rFonts w:hint="eastAsia"/>
                <w:b/>
                <w:bCs/>
                <w:color w:val="auto"/>
                <w:sz w:val="24"/>
                <w:szCs w:val="18"/>
              </w:rPr>
              <w:t>目标医院名称</w:t>
            </w:r>
          </w:p>
        </w:tc>
        <w:tc>
          <w:tcPr>
            <w:tcW w:w="2050" w:type="dxa"/>
          </w:tcPr>
          <w:p w14:paraId="1C4E8A6A">
            <w:pPr>
              <w:rPr>
                <w:b/>
                <w:bCs/>
                <w:color w:val="auto"/>
                <w:sz w:val="24"/>
                <w:szCs w:val="18"/>
              </w:rPr>
            </w:pPr>
            <w:r>
              <w:rPr>
                <w:rFonts w:hint="eastAsia"/>
                <w:b/>
                <w:bCs/>
                <w:color w:val="auto"/>
                <w:sz w:val="24"/>
                <w:szCs w:val="18"/>
              </w:rPr>
              <w:t>1</w:t>
            </w:r>
            <w:r>
              <w:rPr>
                <w:b/>
                <w:bCs/>
                <w:color w:val="auto"/>
                <w:sz w:val="24"/>
                <w:szCs w:val="18"/>
              </w:rPr>
              <w:t>-3</w:t>
            </w:r>
            <w:r>
              <w:rPr>
                <w:rFonts w:hint="eastAsia"/>
                <w:b/>
                <w:bCs/>
                <w:color w:val="auto"/>
                <w:sz w:val="24"/>
                <w:szCs w:val="18"/>
              </w:rPr>
              <w:t>个月（月均）</w:t>
            </w:r>
          </w:p>
        </w:tc>
        <w:tc>
          <w:tcPr>
            <w:tcW w:w="2206" w:type="dxa"/>
          </w:tcPr>
          <w:p w14:paraId="061FADF3">
            <w:pPr>
              <w:rPr>
                <w:b/>
                <w:bCs/>
                <w:color w:val="auto"/>
                <w:sz w:val="24"/>
                <w:szCs w:val="18"/>
              </w:rPr>
            </w:pPr>
            <w:r>
              <w:rPr>
                <w:rFonts w:hint="eastAsia"/>
                <w:b/>
                <w:bCs/>
                <w:color w:val="auto"/>
                <w:sz w:val="24"/>
                <w:szCs w:val="18"/>
              </w:rPr>
              <w:t>4</w:t>
            </w:r>
            <w:r>
              <w:rPr>
                <w:b/>
                <w:bCs/>
                <w:color w:val="auto"/>
                <w:sz w:val="24"/>
                <w:szCs w:val="18"/>
              </w:rPr>
              <w:t>-6</w:t>
            </w:r>
            <w:r>
              <w:rPr>
                <w:rFonts w:hint="eastAsia"/>
                <w:b/>
                <w:bCs/>
                <w:color w:val="auto"/>
                <w:sz w:val="24"/>
                <w:szCs w:val="18"/>
              </w:rPr>
              <w:t>个月（月均）</w:t>
            </w:r>
          </w:p>
        </w:tc>
        <w:tc>
          <w:tcPr>
            <w:tcW w:w="2117" w:type="dxa"/>
            <w:gridSpan w:val="2"/>
          </w:tcPr>
          <w:p w14:paraId="4E4A3C94">
            <w:pPr>
              <w:rPr>
                <w:b/>
                <w:bCs/>
                <w:color w:val="auto"/>
                <w:sz w:val="24"/>
                <w:szCs w:val="18"/>
              </w:rPr>
            </w:pPr>
            <w:r>
              <w:rPr>
                <w:rFonts w:hint="eastAsia"/>
                <w:b/>
                <w:bCs/>
                <w:color w:val="auto"/>
                <w:sz w:val="24"/>
                <w:szCs w:val="18"/>
              </w:rPr>
              <w:t>7</w:t>
            </w:r>
            <w:r>
              <w:rPr>
                <w:b/>
                <w:bCs/>
                <w:color w:val="auto"/>
                <w:sz w:val="24"/>
                <w:szCs w:val="18"/>
              </w:rPr>
              <w:t>-9</w:t>
            </w:r>
            <w:r>
              <w:rPr>
                <w:rFonts w:hint="eastAsia"/>
                <w:b/>
                <w:bCs/>
                <w:color w:val="auto"/>
                <w:sz w:val="24"/>
                <w:szCs w:val="18"/>
              </w:rPr>
              <w:t>个月（月均）</w:t>
            </w:r>
          </w:p>
        </w:tc>
        <w:tc>
          <w:tcPr>
            <w:tcW w:w="2317" w:type="dxa"/>
          </w:tcPr>
          <w:p w14:paraId="034C0933">
            <w:pPr>
              <w:rPr>
                <w:b/>
                <w:bCs/>
                <w:color w:val="auto"/>
                <w:sz w:val="24"/>
                <w:szCs w:val="18"/>
              </w:rPr>
            </w:pPr>
            <w:r>
              <w:rPr>
                <w:rFonts w:hint="eastAsia"/>
                <w:b/>
                <w:bCs/>
                <w:color w:val="auto"/>
                <w:sz w:val="24"/>
                <w:szCs w:val="18"/>
              </w:rPr>
              <w:t>1</w:t>
            </w:r>
            <w:r>
              <w:rPr>
                <w:b/>
                <w:bCs/>
                <w:color w:val="auto"/>
                <w:sz w:val="24"/>
                <w:szCs w:val="18"/>
              </w:rPr>
              <w:t>0-12</w:t>
            </w:r>
            <w:r>
              <w:rPr>
                <w:rFonts w:hint="eastAsia"/>
                <w:b/>
                <w:bCs/>
                <w:color w:val="auto"/>
                <w:sz w:val="24"/>
                <w:szCs w:val="18"/>
              </w:rPr>
              <w:t>个月（月均）</w:t>
            </w:r>
          </w:p>
        </w:tc>
        <w:tc>
          <w:tcPr>
            <w:tcW w:w="1003" w:type="dxa"/>
          </w:tcPr>
          <w:p w14:paraId="43D20EB6">
            <w:pPr>
              <w:rPr>
                <w:b/>
                <w:bCs/>
                <w:color w:val="auto"/>
                <w:sz w:val="24"/>
                <w:szCs w:val="18"/>
              </w:rPr>
            </w:pPr>
            <w:r>
              <w:rPr>
                <w:rFonts w:hint="eastAsia"/>
                <w:b/>
                <w:bCs/>
                <w:color w:val="auto"/>
                <w:sz w:val="24"/>
                <w:szCs w:val="18"/>
              </w:rPr>
              <w:t>合计</w:t>
            </w:r>
          </w:p>
        </w:tc>
      </w:tr>
      <w:tr w14:paraId="257C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974" w:type="dxa"/>
          </w:tcPr>
          <w:p w14:paraId="3D555384">
            <w:pPr>
              <w:rPr>
                <w:b/>
                <w:bCs/>
                <w:color w:val="auto"/>
                <w:sz w:val="24"/>
                <w:szCs w:val="18"/>
              </w:rPr>
            </w:pPr>
            <w:r>
              <w:rPr>
                <w:rFonts w:hint="eastAsia"/>
                <w:b/>
                <w:bCs/>
                <w:color w:val="auto"/>
                <w:sz w:val="24"/>
                <w:szCs w:val="18"/>
              </w:rPr>
              <w:t>1</w:t>
            </w:r>
          </w:p>
        </w:tc>
        <w:tc>
          <w:tcPr>
            <w:tcW w:w="2707" w:type="dxa"/>
          </w:tcPr>
          <w:p w14:paraId="1DB11AFD">
            <w:pPr>
              <w:rPr>
                <w:rFonts w:hint="eastAsia"/>
                <w:color w:val="auto"/>
                <w:sz w:val="24"/>
                <w:szCs w:val="18"/>
              </w:rPr>
            </w:pPr>
          </w:p>
        </w:tc>
        <w:tc>
          <w:tcPr>
            <w:tcW w:w="2050" w:type="dxa"/>
          </w:tcPr>
          <w:p w14:paraId="3AFD2442">
            <w:pPr>
              <w:jc w:val="center"/>
              <w:rPr>
                <w:color w:val="auto"/>
                <w:sz w:val="24"/>
                <w:szCs w:val="18"/>
              </w:rPr>
            </w:pPr>
          </w:p>
        </w:tc>
        <w:tc>
          <w:tcPr>
            <w:tcW w:w="2206" w:type="dxa"/>
          </w:tcPr>
          <w:p w14:paraId="72703F3E">
            <w:pPr>
              <w:jc w:val="center"/>
              <w:rPr>
                <w:color w:val="auto"/>
                <w:sz w:val="24"/>
                <w:szCs w:val="18"/>
              </w:rPr>
            </w:pPr>
          </w:p>
        </w:tc>
        <w:tc>
          <w:tcPr>
            <w:tcW w:w="1934" w:type="dxa"/>
          </w:tcPr>
          <w:p w14:paraId="66155A8A">
            <w:pPr>
              <w:jc w:val="center"/>
              <w:rPr>
                <w:color w:val="auto"/>
                <w:sz w:val="24"/>
                <w:szCs w:val="18"/>
              </w:rPr>
            </w:pPr>
          </w:p>
        </w:tc>
        <w:tc>
          <w:tcPr>
            <w:tcW w:w="2500" w:type="dxa"/>
            <w:gridSpan w:val="2"/>
          </w:tcPr>
          <w:p w14:paraId="198A45ED">
            <w:pPr>
              <w:jc w:val="center"/>
              <w:rPr>
                <w:color w:val="auto"/>
                <w:sz w:val="24"/>
                <w:szCs w:val="18"/>
              </w:rPr>
            </w:pPr>
          </w:p>
        </w:tc>
        <w:tc>
          <w:tcPr>
            <w:tcW w:w="1003" w:type="dxa"/>
          </w:tcPr>
          <w:p w14:paraId="2C8D30D4">
            <w:pPr>
              <w:rPr>
                <w:color w:val="auto"/>
                <w:sz w:val="24"/>
                <w:szCs w:val="18"/>
              </w:rPr>
            </w:pPr>
          </w:p>
        </w:tc>
      </w:tr>
      <w:tr w14:paraId="26C7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74" w:type="dxa"/>
          </w:tcPr>
          <w:p w14:paraId="3142071D">
            <w:pPr>
              <w:rPr>
                <w:b/>
                <w:bCs/>
                <w:color w:val="auto"/>
                <w:sz w:val="24"/>
                <w:szCs w:val="18"/>
              </w:rPr>
            </w:pPr>
            <w:r>
              <w:rPr>
                <w:rFonts w:hint="eastAsia"/>
                <w:b/>
                <w:bCs/>
                <w:color w:val="auto"/>
                <w:sz w:val="24"/>
                <w:szCs w:val="18"/>
              </w:rPr>
              <w:t>2</w:t>
            </w:r>
          </w:p>
        </w:tc>
        <w:tc>
          <w:tcPr>
            <w:tcW w:w="2707" w:type="dxa"/>
          </w:tcPr>
          <w:p w14:paraId="05EF2E33">
            <w:pPr>
              <w:rPr>
                <w:color w:val="auto"/>
                <w:sz w:val="24"/>
                <w:szCs w:val="18"/>
              </w:rPr>
            </w:pPr>
          </w:p>
        </w:tc>
        <w:tc>
          <w:tcPr>
            <w:tcW w:w="2050" w:type="dxa"/>
          </w:tcPr>
          <w:p w14:paraId="1700492C">
            <w:pPr>
              <w:rPr>
                <w:color w:val="auto"/>
                <w:sz w:val="24"/>
                <w:szCs w:val="18"/>
              </w:rPr>
            </w:pPr>
          </w:p>
        </w:tc>
        <w:tc>
          <w:tcPr>
            <w:tcW w:w="2206" w:type="dxa"/>
          </w:tcPr>
          <w:p w14:paraId="60E1230A">
            <w:pPr>
              <w:rPr>
                <w:color w:val="auto"/>
                <w:sz w:val="24"/>
                <w:szCs w:val="18"/>
              </w:rPr>
            </w:pPr>
          </w:p>
        </w:tc>
        <w:tc>
          <w:tcPr>
            <w:tcW w:w="1934" w:type="dxa"/>
          </w:tcPr>
          <w:p w14:paraId="7FB7AE6F">
            <w:pPr>
              <w:rPr>
                <w:color w:val="auto"/>
                <w:sz w:val="24"/>
                <w:szCs w:val="18"/>
              </w:rPr>
            </w:pPr>
          </w:p>
        </w:tc>
        <w:tc>
          <w:tcPr>
            <w:tcW w:w="2500" w:type="dxa"/>
            <w:gridSpan w:val="2"/>
          </w:tcPr>
          <w:p w14:paraId="457DB0EA">
            <w:pPr>
              <w:rPr>
                <w:color w:val="auto"/>
                <w:sz w:val="24"/>
                <w:szCs w:val="18"/>
              </w:rPr>
            </w:pPr>
          </w:p>
        </w:tc>
        <w:tc>
          <w:tcPr>
            <w:tcW w:w="1003" w:type="dxa"/>
          </w:tcPr>
          <w:p w14:paraId="28D90E08">
            <w:pPr>
              <w:rPr>
                <w:color w:val="auto"/>
                <w:sz w:val="24"/>
                <w:szCs w:val="18"/>
              </w:rPr>
            </w:pPr>
          </w:p>
        </w:tc>
      </w:tr>
      <w:tr w14:paraId="39CC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74" w:type="dxa"/>
          </w:tcPr>
          <w:p w14:paraId="2795075D">
            <w:pPr>
              <w:rPr>
                <w:b/>
                <w:bCs/>
                <w:color w:val="auto"/>
                <w:sz w:val="24"/>
                <w:szCs w:val="18"/>
              </w:rPr>
            </w:pPr>
            <w:r>
              <w:rPr>
                <w:rFonts w:hint="eastAsia"/>
                <w:b/>
                <w:bCs/>
                <w:color w:val="auto"/>
                <w:sz w:val="24"/>
                <w:szCs w:val="18"/>
              </w:rPr>
              <w:t>3</w:t>
            </w:r>
          </w:p>
        </w:tc>
        <w:tc>
          <w:tcPr>
            <w:tcW w:w="2707" w:type="dxa"/>
          </w:tcPr>
          <w:p w14:paraId="1209604A">
            <w:pPr>
              <w:rPr>
                <w:color w:val="auto"/>
                <w:sz w:val="24"/>
                <w:szCs w:val="18"/>
              </w:rPr>
            </w:pPr>
          </w:p>
        </w:tc>
        <w:tc>
          <w:tcPr>
            <w:tcW w:w="2050" w:type="dxa"/>
          </w:tcPr>
          <w:p w14:paraId="253111D6">
            <w:pPr>
              <w:rPr>
                <w:color w:val="auto"/>
                <w:sz w:val="24"/>
                <w:szCs w:val="18"/>
              </w:rPr>
            </w:pPr>
          </w:p>
        </w:tc>
        <w:tc>
          <w:tcPr>
            <w:tcW w:w="2206" w:type="dxa"/>
          </w:tcPr>
          <w:p w14:paraId="3721754F">
            <w:pPr>
              <w:rPr>
                <w:color w:val="auto"/>
                <w:sz w:val="24"/>
                <w:szCs w:val="18"/>
              </w:rPr>
            </w:pPr>
          </w:p>
        </w:tc>
        <w:tc>
          <w:tcPr>
            <w:tcW w:w="1934" w:type="dxa"/>
          </w:tcPr>
          <w:p w14:paraId="666B9AFB">
            <w:pPr>
              <w:rPr>
                <w:color w:val="auto"/>
                <w:sz w:val="24"/>
                <w:szCs w:val="18"/>
              </w:rPr>
            </w:pPr>
          </w:p>
        </w:tc>
        <w:tc>
          <w:tcPr>
            <w:tcW w:w="2500" w:type="dxa"/>
            <w:gridSpan w:val="2"/>
          </w:tcPr>
          <w:p w14:paraId="2C465C91">
            <w:pPr>
              <w:rPr>
                <w:color w:val="auto"/>
                <w:sz w:val="24"/>
                <w:szCs w:val="18"/>
              </w:rPr>
            </w:pPr>
          </w:p>
        </w:tc>
        <w:tc>
          <w:tcPr>
            <w:tcW w:w="1003" w:type="dxa"/>
          </w:tcPr>
          <w:p w14:paraId="1E7EE150">
            <w:pPr>
              <w:rPr>
                <w:color w:val="auto"/>
                <w:sz w:val="24"/>
                <w:szCs w:val="18"/>
              </w:rPr>
            </w:pPr>
          </w:p>
        </w:tc>
      </w:tr>
      <w:tr w14:paraId="5DC6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74" w:type="dxa"/>
          </w:tcPr>
          <w:p w14:paraId="38FA0751">
            <w:pPr>
              <w:rPr>
                <w:b/>
                <w:bCs/>
                <w:color w:val="auto"/>
                <w:sz w:val="24"/>
                <w:szCs w:val="18"/>
              </w:rPr>
            </w:pPr>
            <w:r>
              <w:rPr>
                <w:rFonts w:hint="eastAsia"/>
                <w:b/>
                <w:bCs/>
                <w:color w:val="auto"/>
                <w:sz w:val="24"/>
                <w:szCs w:val="18"/>
              </w:rPr>
              <w:t>4</w:t>
            </w:r>
          </w:p>
        </w:tc>
        <w:tc>
          <w:tcPr>
            <w:tcW w:w="2707" w:type="dxa"/>
          </w:tcPr>
          <w:p w14:paraId="4ECE9E5D">
            <w:pPr>
              <w:rPr>
                <w:color w:val="auto"/>
                <w:sz w:val="24"/>
                <w:szCs w:val="18"/>
              </w:rPr>
            </w:pPr>
          </w:p>
        </w:tc>
        <w:tc>
          <w:tcPr>
            <w:tcW w:w="2050" w:type="dxa"/>
          </w:tcPr>
          <w:p w14:paraId="0073542F">
            <w:pPr>
              <w:rPr>
                <w:color w:val="auto"/>
                <w:sz w:val="24"/>
                <w:szCs w:val="18"/>
              </w:rPr>
            </w:pPr>
          </w:p>
        </w:tc>
        <w:tc>
          <w:tcPr>
            <w:tcW w:w="2206" w:type="dxa"/>
          </w:tcPr>
          <w:p w14:paraId="0DB47167">
            <w:pPr>
              <w:rPr>
                <w:color w:val="auto"/>
                <w:sz w:val="24"/>
                <w:szCs w:val="18"/>
              </w:rPr>
            </w:pPr>
          </w:p>
        </w:tc>
        <w:tc>
          <w:tcPr>
            <w:tcW w:w="1934" w:type="dxa"/>
          </w:tcPr>
          <w:p w14:paraId="30218E6A">
            <w:pPr>
              <w:rPr>
                <w:color w:val="auto"/>
                <w:sz w:val="24"/>
                <w:szCs w:val="18"/>
              </w:rPr>
            </w:pPr>
          </w:p>
        </w:tc>
        <w:tc>
          <w:tcPr>
            <w:tcW w:w="2500" w:type="dxa"/>
            <w:gridSpan w:val="2"/>
          </w:tcPr>
          <w:p w14:paraId="6B34C59B">
            <w:pPr>
              <w:rPr>
                <w:color w:val="auto"/>
                <w:sz w:val="24"/>
                <w:szCs w:val="18"/>
              </w:rPr>
            </w:pPr>
          </w:p>
        </w:tc>
        <w:tc>
          <w:tcPr>
            <w:tcW w:w="1003" w:type="dxa"/>
          </w:tcPr>
          <w:p w14:paraId="76AF8C4D">
            <w:pPr>
              <w:rPr>
                <w:color w:val="auto"/>
                <w:sz w:val="24"/>
                <w:szCs w:val="18"/>
              </w:rPr>
            </w:pPr>
          </w:p>
        </w:tc>
      </w:tr>
      <w:tr w14:paraId="23987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7" w:hRule="atLeast"/>
        </w:trPr>
        <w:tc>
          <w:tcPr>
            <w:tcW w:w="974" w:type="dxa"/>
          </w:tcPr>
          <w:p w14:paraId="752D8AEB">
            <w:pPr>
              <w:rPr>
                <w:b/>
                <w:bCs/>
                <w:color w:val="auto"/>
                <w:sz w:val="24"/>
                <w:szCs w:val="18"/>
              </w:rPr>
            </w:pPr>
            <w:r>
              <w:rPr>
                <w:rFonts w:hint="eastAsia"/>
                <w:b/>
                <w:bCs/>
                <w:color w:val="auto"/>
                <w:sz w:val="24"/>
                <w:szCs w:val="18"/>
              </w:rPr>
              <w:t>5</w:t>
            </w:r>
          </w:p>
        </w:tc>
        <w:tc>
          <w:tcPr>
            <w:tcW w:w="2707" w:type="dxa"/>
          </w:tcPr>
          <w:p w14:paraId="533DC4AF">
            <w:pPr>
              <w:rPr>
                <w:color w:val="auto"/>
                <w:sz w:val="24"/>
                <w:szCs w:val="18"/>
              </w:rPr>
            </w:pPr>
          </w:p>
        </w:tc>
        <w:tc>
          <w:tcPr>
            <w:tcW w:w="2050" w:type="dxa"/>
          </w:tcPr>
          <w:p w14:paraId="4FF4A4BB">
            <w:pPr>
              <w:rPr>
                <w:color w:val="auto"/>
                <w:sz w:val="24"/>
                <w:szCs w:val="18"/>
              </w:rPr>
            </w:pPr>
          </w:p>
        </w:tc>
        <w:tc>
          <w:tcPr>
            <w:tcW w:w="2206" w:type="dxa"/>
          </w:tcPr>
          <w:p w14:paraId="7C9E89DF">
            <w:pPr>
              <w:rPr>
                <w:color w:val="auto"/>
                <w:sz w:val="24"/>
                <w:szCs w:val="18"/>
              </w:rPr>
            </w:pPr>
          </w:p>
        </w:tc>
        <w:tc>
          <w:tcPr>
            <w:tcW w:w="1934" w:type="dxa"/>
          </w:tcPr>
          <w:p w14:paraId="76D0E059">
            <w:pPr>
              <w:rPr>
                <w:color w:val="auto"/>
                <w:sz w:val="24"/>
                <w:szCs w:val="18"/>
              </w:rPr>
            </w:pPr>
          </w:p>
        </w:tc>
        <w:tc>
          <w:tcPr>
            <w:tcW w:w="2500" w:type="dxa"/>
            <w:gridSpan w:val="2"/>
          </w:tcPr>
          <w:p w14:paraId="5BA59FAC">
            <w:pPr>
              <w:rPr>
                <w:color w:val="auto"/>
                <w:sz w:val="24"/>
                <w:szCs w:val="18"/>
              </w:rPr>
            </w:pPr>
          </w:p>
        </w:tc>
        <w:tc>
          <w:tcPr>
            <w:tcW w:w="1003" w:type="dxa"/>
          </w:tcPr>
          <w:p w14:paraId="0D38C471">
            <w:pPr>
              <w:rPr>
                <w:color w:val="auto"/>
                <w:sz w:val="24"/>
                <w:szCs w:val="18"/>
              </w:rPr>
            </w:pPr>
          </w:p>
        </w:tc>
      </w:tr>
      <w:tr w14:paraId="1A0E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74" w:type="dxa"/>
          </w:tcPr>
          <w:p w14:paraId="46844FD3">
            <w:pPr>
              <w:rPr>
                <w:b/>
                <w:bCs/>
                <w:color w:val="auto"/>
                <w:sz w:val="24"/>
                <w:szCs w:val="18"/>
              </w:rPr>
            </w:pPr>
            <w:r>
              <w:rPr>
                <w:rFonts w:hint="eastAsia"/>
                <w:b/>
                <w:bCs/>
                <w:color w:val="auto"/>
                <w:sz w:val="24"/>
                <w:szCs w:val="18"/>
              </w:rPr>
              <w:t>6</w:t>
            </w:r>
          </w:p>
        </w:tc>
        <w:tc>
          <w:tcPr>
            <w:tcW w:w="2707" w:type="dxa"/>
          </w:tcPr>
          <w:p w14:paraId="1106730B">
            <w:pPr>
              <w:rPr>
                <w:color w:val="auto"/>
                <w:sz w:val="24"/>
                <w:szCs w:val="18"/>
              </w:rPr>
            </w:pPr>
          </w:p>
        </w:tc>
        <w:tc>
          <w:tcPr>
            <w:tcW w:w="2050" w:type="dxa"/>
          </w:tcPr>
          <w:p w14:paraId="4CF0C59C">
            <w:pPr>
              <w:rPr>
                <w:color w:val="auto"/>
                <w:sz w:val="24"/>
                <w:szCs w:val="18"/>
              </w:rPr>
            </w:pPr>
          </w:p>
        </w:tc>
        <w:tc>
          <w:tcPr>
            <w:tcW w:w="2206" w:type="dxa"/>
          </w:tcPr>
          <w:p w14:paraId="332BC5AC">
            <w:pPr>
              <w:rPr>
                <w:color w:val="auto"/>
                <w:sz w:val="24"/>
                <w:szCs w:val="18"/>
              </w:rPr>
            </w:pPr>
          </w:p>
        </w:tc>
        <w:tc>
          <w:tcPr>
            <w:tcW w:w="1934" w:type="dxa"/>
          </w:tcPr>
          <w:p w14:paraId="56D2CA84">
            <w:pPr>
              <w:rPr>
                <w:color w:val="auto"/>
                <w:sz w:val="24"/>
                <w:szCs w:val="18"/>
              </w:rPr>
            </w:pPr>
          </w:p>
        </w:tc>
        <w:tc>
          <w:tcPr>
            <w:tcW w:w="2500" w:type="dxa"/>
            <w:gridSpan w:val="2"/>
          </w:tcPr>
          <w:p w14:paraId="11B9D48E">
            <w:pPr>
              <w:rPr>
                <w:color w:val="auto"/>
                <w:sz w:val="24"/>
                <w:szCs w:val="18"/>
              </w:rPr>
            </w:pPr>
          </w:p>
        </w:tc>
        <w:tc>
          <w:tcPr>
            <w:tcW w:w="1003" w:type="dxa"/>
          </w:tcPr>
          <w:p w14:paraId="7D9C1D91">
            <w:pPr>
              <w:rPr>
                <w:color w:val="auto"/>
                <w:sz w:val="24"/>
                <w:szCs w:val="18"/>
              </w:rPr>
            </w:pPr>
          </w:p>
        </w:tc>
      </w:tr>
      <w:tr w14:paraId="6DE4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74" w:type="dxa"/>
          </w:tcPr>
          <w:p w14:paraId="7C410878">
            <w:pPr>
              <w:rPr>
                <w:b/>
                <w:bCs/>
                <w:color w:val="auto"/>
                <w:sz w:val="24"/>
                <w:szCs w:val="18"/>
              </w:rPr>
            </w:pPr>
            <w:r>
              <w:rPr>
                <w:rFonts w:hint="eastAsia"/>
                <w:b/>
                <w:bCs/>
                <w:color w:val="auto"/>
                <w:sz w:val="24"/>
                <w:szCs w:val="18"/>
              </w:rPr>
              <w:t>7</w:t>
            </w:r>
          </w:p>
        </w:tc>
        <w:tc>
          <w:tcPr>
            <w:tcW w:w="2707" w:type="dxa"/>
          </w:tcPr>
          <w:p w14:paraId="059191B4">
            <w:pPr>
              <w:rPr>
                <w:color w:val="auto"/>
                <w:sz w:val="24"/>
                <w:szCs w:val="18"/>
              </w:rPr>
            </w:pPr>
          </w:p>
        </w:tc>
        <w:tc>
          <w:tcPr>
            <w:tcW w:w="2050" w:type="dxa"/>
          </w:tcPr>
          <w:p w14:paraId="5A986DBB">
            <w:pPr>
              <w:rPr>
                <w:color w:val="auto"/>
                <w:sz w:val="24"/>
                <w:szCs w:val="18"/>
              </w:rPr>
            </w:pPr>
          </w:p>
        </w:tc>
        <w:tc>
          <w:tcPr>
            <w:tcW w:w="2206" w:type="dxa"/>
          </w:tcPr>
          <w:p w14:paraId="0FF5A069">
            <w:pPr>
              <w:rPr>
                <w:color w:val="auto"/>
                <w:sz w:val="24"/>
                <w:szCs w:val="18"/>
              </w:rPr>
            </w:pPr>
          </w:p>
        </w:tc>
        <w:tc>
          <w:tcPr>
            <w:tcW w:w="1934" w:type="dxa"/>
          </w:tcPr>
          <w:p w14:paraId="128B50A2">
            <w:pPr>
              <w:rPr>
                <w:color w:val="auto"/>
                <w:sz w:val="24"/>
                <w:szCs w:val="18"/>
              </w:rPr>
            </w:pPr>
          </w:p>
        </w:tc>
        <w:tc>
          <w:tcPr>
            <w:tcW w:w="2500" w:type="dxa"/>
            <w:gridSpan w:val="2"/>
          </w:tcPr>
          <w:p w14:paraId="4900EB64">
            <w:pPr>
              <w:rPr>
                <w:color w:val="auto"/>
                <w:sz w:val="24"/>
                <w:szCs w:val="18"/>
              </w:rPr>
            </w:pPr>
          </w:p>
        </w:tc>
        <w:tc>
          <w:tcPr>
            <w:tcW w:w="1003" w:type="dxa"/>
          </w:tcPr>
          <w:p w14:paraId="5894FEAA">
            <w:pPr>
              <w:rPr>
                <w:color w:val="auto"/>
                <w:sz w:val="24"/>
                <w:szCs w:val="18"/>
              </w:rPr>
            </w:pPr>
          </w:p>
        </w:tc>
      </w:tr>
      <w:tr w14:paraId="2CED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74" w:type="dxa"/>
          </w:tcPr>
          <w:p w14:paraId="1FA092CE">
            <w:pPr>
              <w:rPr>
                <w:b/>
                <w:bCs/>
                <w:color w:val="auto"/>
                <w:sz w:val="24"/>
                <w:szCs w:val="18"/>
              </w:rPr>
            </w:pPr>
            <w:r>
              <w:rPr>
                <w:rFonts w:hint="eastAsia"/>
                <w:b/>
                <w:bCs/>
                <w:color w:val="auto"/>
                <w:sz w:val="24"/>
                <w:szCs w:val="18"/>
              </w:rPr>
              <w:t>8</w:t>
            </w:r>
          </w:p>
        </w:tc>
        <w:tc>
          <w:tcPr>
            <w:tcW w:w="2707" w:type="dxa"/>
          </w:tcPr>
          <w:p w14:paraId="1B6EC2BB">
            <w:pPr>
              <w:rPr>
                <w:color w:val="auto"/>
                <w:sz w:val="24"/>
                <w:szCs w:val="18"/>
              </w:rPr>
            </w:pPr>
          </w:p>
        </w:tc>
        <w:tc>
          <w:tcPr>
            <w:tcW w:w="2050" w:type="dxa"/>
          </w:tcPr>
          <w:p w14:paraId="2F960878">
            <w:pPr>
              <w:rPr>
                <w:color w:val="auto"/>
                <w:sz w:val="24"/>
                <w:szCs w:val="18"/>
              </w:rPr>
            </w:pPr>
          </w:p>
        </w:tc>
        <w:tc>
          <w:tcPr>
            <w:tcW w:w="2206" w:type="dxa"/>
          </w:tcPr>
          <w:p w14:paraId="2F01FEDE">
            <w:pPr>
              <w:rPr>
                <w:color w:val="auto"/>
                <w:sz w:val="24"/>
                <w:szCs w:val="18"/>
              </w:rPr>
            </w:pPr>
          </w:p>
        </w:tc>
        <w:tc>
          <w:tcPr>
            <w:tcW w:w="1934" w:type="dxa"/>
          </w:tcPr>
          <w:p w14:paraId="07F865F5">
            <w:pPr>
              <w:rPr>
                <w:color w:val="auto"/>
                <w:sz w:val="24"/>
                <w:szCs w:val="18"/>
              </w:rPr>
            </w:pPr>
          </w:p>
        </w:tc>
        <w:tc>
          <w:tcPr>
            <w:tcW w:w="2500" w:type="dxa"/>
            <w:gridSpan w:val="2"/>
          </w:tcPr>
          <w:p w14:paraId="405AABCB">
            <w:pPr>
              <w:rPr>
                <w:color w:val="auto"/>
                <w:sz w:val="24"/>
                <w:szCs w:val="18"/>
              </w:rPr>
            </w:pPr>
          </w:p>
        </w:tc>
        <w:tc>
          <w:tcPr>
            <w:tcW w:w="1003" w:type="dxa"/>
          </w:tcPr>
          <w:p w14:paraId="103E8ABF">
            <w:pPr>
              <w:rPr>
                <w:color w:val="auto"/>
                <w:sz w:val="24"/>
                <w:szCs w:val="18"/>
              </w:rPr>
            </w:pPr>
          </w:p>
        </w:tc>
      </w:tr>
      <w:tr w14:paraId="47F7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974" w:type="dxa"/>
          </w:tcPr>
          <w:p w14:paraId="27508158">
            <w:pPr>
              <w:rPr>
                <w:b/>
                <w:bCs/>
                <w:color w:val="auto"/>
                <w:sz w:val="24"/>
                <w:szCs w:val="18"/>
              </w:rPr>
            </w:pPr>
            <w:r>
              <w:rPr>
                <w:rFonts w:hint="eastAsia"/>
                <w:b/>
                <w:bCs/>
                <w:color w:val="auto"/>
                <w:sz w:val="24"/>
                <w:szCs w:val="18"/>
              </w:rPr>
              <w:t>合计</w:t>
            </w:r>
          </w:p>
        </w:tc>
        <w:tc>
          <w:tcPr>
            <w:tcW w:w="2707" w:type="dxa"/>
          </w:tcPr>
          <w:p w14:paraId="2949A053">
            <w:pPr>
              <w:rPr>
                <w:color w:val="auto"/>
                <w:sz w:val="24"/>
                <w:szCs w:val="18"/>
              </w:rPr>
            </w:pPr>
          </w:p>
        </w:tc>
        <w:tc>
          <w:tcPr>
            <w:tcW w:w="2050" w:type="dxa"/>
          </w:tcPr>
          <w:p w14:paraId="27BD3984">
            <w:pPr>
              <w:rPr>
                <w:color w:val="auto"/>
                <w:sz w:val="24"/>
                <w:szCs w:val="18"/>
              </w:rPr>
            </w:pPr>
          </w:p>
        </w:tc>
        <w:tc>
          <w:tcPr>
            <w:tcW w:w="2206" w:type="dxa"/>
          </w:tcPr>
          <w:p w14:paraId="39C811BF">
            <w:pPr>
              <w:rPr>
                <w:color w:val="auto"/>
                <w:sz w:val="24"/>
                <w:szCs w:val="18"/>
              </w:rPr>
            </w:pPr>
          </w:p>
        </w:tc>
        <w:tc>
          <w:tcPr>
            <w:tcW w:w="1934" w:type="dxa"/>
          </w:tcPr>
          <w:p w14:paraId="176CD53B">
            <w:pPr>
              <w:rPr>
                <w:color w:val="auto"/>
                <w:sz w:val="24"/>
                <w:szCs w:val="18"/>
              </w:rPr>
            </w:pPr>
          </w:p>
        </w:tc>
        <w:tc>
          <w:tcPr>
            <w:tcW w:w="2500" w:type="dxa"/>
            <w:gridSpan w:val="2"/>
          </w:tcPr>
          <w:p w14:paraId="29798FB6">
            <w:pPr>
              <w:rPr>
                <w:color w:val="auto"/>
                <w:sz w:val="24"/>
                <w:szCs w:val="18"/>
              </w:rPr>
            </w:pPr>
          </w:p>
        </w:tc>
        <w:tc>
          <w:tcPr>
            <w:tcW w:w="1003" w:type="dxa"/>
          </w:tcPr>
          <w:p w14:paraId="14D4545E">
            <w:pPr>
              <w:rPr>
                <w:color w:val="auto"/>
                <w:sz w:val="24"/>
                <w:szCs w:val="18"/>
              </w:rPr>
            </w:pPr>
          </w:p>
        </w:tc>
      </w:tr>
    </w:tbl>
    <w:p w14:paraId="1A230142">
      <w:pPr>
        <w:rPr>
          <w:color w:val="auto"/>
          <w:sz w:val="24"/>
          <w:szCs w:val="18"/>
        </w:rPr>
      </w:pPr>
    </w:p>
    <w:p w14:paraId="04E2636D">
      <w:pPr>
        <w:rPr>
          <w:color w:val="auto"/>
          <w:sz w:val="24"/>
          <w:szCs w:val="18"/>
        </w:rPr>
      </w:pPr>
      <w:r>
        <w:rPr>
          <w:rFonts w:hint="eastAsia"/>
          <w:color w:val="auto"/>
          <w:sz w:val="24"/>
          <w:szCs w:val="18"/>
        </w:rPr>
        <w:t>备注：目标区域或医院任务量由甲乙双方协调确定，由乙方根据实际情况进行季度拆分，最后双方负责人签字确定。</w:t>
      </w:r>
    </w:p>
    <w:p w14:paraId="0BC9335A">
      <w:pPr>
        <w:rPr>
          <w:color w:val="auto"/>
          <w:sz w:val="24"/>
          <w:szCs w:val="18"/>
        </w:rPr>
      </w:pPr>
    </w:p>
    <w:p w14:paraId="2982194E">
      <w:pPr>
        <w:rPr>
          <w:color w:val="auto"/>
          <w:sz w:val="24"/>
          <w:szCs w:val="18"/>
        </w:rPr>
      </w:pPr>
    </w:p>
    <w:p w14:paraId="072A1115">
      <w:pPr>
        <w:rPr>
          <w:color w:val="auto"/>
          <w:sz w:val="24"/>
          <w:szCs w:val="18"/>
        </w:rPr>
      </w:pPr>
    </w:p>
    <w:p w14:paraId="758264EE">
      <w:pPr>
        <w:rPr>
          <w:color w:val="auto"/>
          <w:sz w:val="24"/>
          <w:szCs w:val="18"/>
        </w:rPr>
      </w:pPr>
      <w:r>
        <w:rPr>
          <w:rFonts w:hint="eastAsia"/>
          <w:color w:val="auto"/>
          <w:sz w:val="24"/>
          <w:szCs w:val="18"/>
        </w:rPr>
        <w:t xml:space="preserve">甲方： </w:t>
      </w:r>
      <w:r>
        <w:rPr>
          <w:rFonts w:hint="eastAsia"/>
          <w:color w:val="auto"/>
          <w:sz w:val="24"/>
          <w:szCs w:val="18"/>
          <w:lang w:val="en-US" w:eastAsia="zh-CN"/>
        </w:rPr>
        <w:t>广州圆爱康生物科技有限公司</w:t>
      </w:r>
      <w:r>
        <w:rPr>
          <w:color w:val="auto"/>
          <w:sz w:val="24"/>
          <w:szCs w:val="18"/>
        </w:rPr>
        <w:t xml:space="preserve">                                          </w:t>
      </w:r>
      <w:r>
        <w:rPr>
          <w:rFonts w:hint="eastAsia"/>
          <w:color w:val="auto"/>
          <w:sz w:val="24"/>
          <w:szCs w:val="18"/>
        </w:rPr>
        <w:t>乙方：</w:t>
      </w:r>
    </w:p>
    <w:p w14:paraId="796FFA23">
      <w:pPr>
        <w:rPr>
          <w:rFonts w:hint="default" w:ascii="宋体" w:hAnsi="宋体" w:eastAsia="宋体" w:cs="宋体"/>
          <w:b/>
          <w:color w:val="auto"/>
          <w:sz w:val="21"/>
          <w:szCs w:val="21"/>
          <w:lang w:val="en-US" w:eastAsia="zh-CN"/>
        </w:rPr>
      </w:pPr>
      <w:r>
        <w:rPr>
          <w:rFonts w:hint="eastAsia"/>
          <w:color w:val="auto"/>
          <w:sz w:val="24"/>
          <w:szCs w:val="18"/>
        </w:rPr>
        <w:t xml:space="preserve">日期： </w:t>
      </w:r>
      <w:r>
        <w:rPr>
          <w:color w:val="auto"/>
          <w:sz w:val="24"/>
          <w:szCs w:val="18"/>
        </w:rPr>
        <w:t xml:space="preserve">                                                                    </w:t>
      </w:r>
      <w:r>
        <w:rPr>
          <w:rFonts w:hint="eastAsia"/>
          <w:color w:val="auto"/>
          <w:sz w:val="24"/>
          <w:szCs w:val="18"/>
        </w:rPr>
        <w:t>日期：</w:t>
      </w:r>
      <w:bookmarkStart w:id="1" w:name="_GoBack"/>
      <w:bookmarkEnd w:id="1"/>
    </w:p>
    <w:sectPr>
      <w:pgSz w:w="16838" w:h="11906" w:orient="landscape"/>
      <w:pgMar w:top="1800" w:right="1440" w:bottom="1800" w:left="1440" w:header="680" w:footer="595"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THeiti Light">
    <w:altName w:val="宋体"/>
    <w:panose1 w:val="00000000000000000000"/>
    <w:charset w:val="86"/>
    <w:family w:val="auto"/>
    <w:pitch w:val="default"/>
    <w:sig w:usb0="00000000" w:usb1="0000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7E54C">
    <w:pPr>
      <w:pStyle w:val="3"/>
    </w:pPr>
    <w:r>
      <mc:AlternateContent>
        <mc:Choice Requires="wps">
          <w:drawing>
            <wp:anchor distT="0" distB="0" distL="114300" distR="114300" simplePos="0" relativeHeight="251659264" behindDoc="0" locked="0" layoutInCell="1" allowOverlap="1">
              <wp:simplePos x="0" y="0"/>
              <wp:positionH relativeFrom="margin">
                <wp:posOffset>2205355</wp:posOffset>
              </wp:positionH>
              <wp:positionV relativeFrom="paragraph">
                <wp:posOffset>-19050</wp:posOffset>
              </wp:positionV>
              <wp:extent cx="1177290" cy="17335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177290" cy="173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0074B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73.65pt;margin-top:-1.5pt;height:13.65pt;width:92.7pt;mso-position-horizontal-relative:margin;z-index:251659264;mso-width-relative:page;mso-height-relative:page;" filled="f" stroked="f" coordsize="21600,21600" o:gfxdata="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QnxiF2AAAAAkBAAAPAAAAAAAAAAEAIAAAACIAAABkcnMvZG93bnJldi54&#10;bWxQSwECFAAUAAAACACHTuJAc5ZIKDMCAABWBAAADgAAAAAAAAABACAAAAAnAQAAZHJzL2Uyb0Rv&#10;Yy54bWxQSwUGAAAAAAYABgBZAQAAzAUAAAAA&#10;">
              <v:fill on="f" focussize="0,0"/>
              <v:stroke on="f" weight="0.5pt"/>
              <v:imagedata o:title=""/>
              <o:lock v:ext="edit" aspectratio="f"/>
              <v:textbox inset="0mm,0mm,0mm,0mm">
                <w:txbxContent>
                  <w:p w14:paraId="3E0074B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r>
      <w:rPr>
        <w:rFonts w:hint="eastAsia"/>
      </w:rPr>
      <w:t>广州圆爱康生物科技有限公司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BF6AC">
    <w:pPr>
      <w:pStyle w:val="4"/>
      <w:jc w:val="right"/>
    </w:pPr>
    <w:r>
      <w:rPr>
        <w:rFonts w:hint="eastAsia"/>
      </w:rPr>
      <w:drawing>
        <wp:inline distT="0" distB="0" distL="114300" distR="114300">
          <wp:extent cx="936625" cy="391160"/>
          <wp:effectExtent l="0" t="0" r="15875" b="8890"/>
          <wp:docPr id="2" name="图片 2" descr="图片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2c9faf4d-1e29-48b1-aad7-adbccbfdc780}"/>
                </s:tag>
              </a:ext>
            </a:extLst>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
                  <a:stretch>
                    <a:fillRect/>
                  </a:stretch>
                </pic:blipFill>
                <pic:spPr>
                  <a:xfrm>
                    <a:off x="0" y="0"/>
                    <a:ext cx="936625" cy="39116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2337F"/>
    <w:multiLevelType w:val="singleLevel"/>
    <w:tmpl w:val="A102337F"/>
    <w:lvl w:ilvl="0" w:tentative="0">
      <w:start w:val="1"/>
      <w:numFmt w:val="decimal"/>
      <w:suff w:val="nothing"/>
      <w:lvlText w:val="（%1）"/>
      <w:lvlJc w:val="left"/>
    </w:lvl>
  </w:abstractNum>
  <w:abstractNum w:abstractNumId="1">
    <w:nsid w:val="D461B395"/>
    <w:multiLevelType w:val="singleLevel"/>
    <w:tmpl w:val="D461B395"/>
    <w:lvl w:ilvl="0" w:tentative="0">
      <w:start w:val="1"/>
      <w:numFmt w:val="decimalEnclosedCircleChinese"/>
      <w:suff w:val="nothing"/>
      <w:lvlText w:val="%1　"/>
      <w:lvlJc w:val="left"/>
      <w:pPr>
        <w:ind w:left="0" w:firstLine="400"/>
      </w:pPr>
      <w:rPr>
        <w:rFonts w:hint="eastAsia"/>
      </w:rPr>
    </w:lvl>
  </w:abstractNum>
  <w:abstractNum w:abstractNumId="2">
    <w:nsid w:val="DF2F9523"/>
    <w:multiLevelType w:val="singleLevel"/>
    <w:tmpl w:val="DF2F9523"/>
    <w:lvl w:ilvl="0" w:tentative="0">
      <w:start w:val="1"/>
      <w:numFmt w:val="decimalEnclosedCircleChinese"/>
      <w:suff w:val="nothing"/>
      <w:lvlText w:val="%1　"/>
      <w:lvlJc w:val="left"/>
      <w:pPr>
        <w:ind w:left="0" w:firstLine="400"/>
      </w:pPr>
      <w:rPr>
        <w:rFonts w:hint="eastAsia"/>
      </w:rPr>
    </w:lvl>
  </w:abstractNum>
  <w:abstractNum w:abstractNumId="3">
    <w:nsid w:val="DFF3A401"/>
    <w:multiLevelType w:val="singleLevel"/>
    <w:tmpl w:val="DFF3A401"/>
    <w:lvl w:ilvl="0" w:tentative="0">
      <w:start w:val="1"/>
      <w:numFmt w:val="decimal"/>
      <w:suff w:val="nothing"/>
      <w:lvlText w:val="%1、"/>
      <w:lvlJc w:val="left"/>
    </w:lvl>
  </w:abstractNum>
  <w:abstractNum w:abstractNumId="4">
    <w:nsid w:val="00000008"/>
    <w:multiLevelType w:val="singleLevel"/>
    <w:tmpl w:val="00000008"/>
    <w:lvl w:ilvl="0" w:tentative="0">
      <w:start w:val="1"/>
      <w:numFmt w:val="chineseCounting"/>
      <w:suff w:val="nothing"/>
      <w:lvlText w:val="%1、"/>
      <w:lvlJc w:val="left"/>
      <w:pPr>
        <w:ind w:left="-1" w:firstLine="0"/>
      </w:pPr>
      <w:rPr>
        <w:rFonts w:hint="eastAsia"/>
      </w:rPr>
    </w:lvl>
  </w:abstractNum>
  <w:abstractNum w:abstractNumId="5">
    <w:nsid w:val="3D3061F4"/>
    <w:multiLevelType w:val="singleLevel"/>
    <w:tmpl w:val="3D3061F4"/>
    <w:lvl w:ilvl="0" w:tentative="0">
      <w:start w:val="2"/>
      <w:numFmt w:val="decimal"/>
      <w:lvlText w:val="%1."/>
      <w:lvlJc w:val="left"/>
      <w:pPr>
        <w:tabs>
          <w:tab w:val="left" w:pos="312"/>
        </w:tabs>
      </w:pPr>
    </w:lvl>
  </w:abstractNum>
  <w:abstractNum w:abstractNumId="6">
    <w:nsid w:val="575A9B2D"/>
    <w:multiLevelType w:val="singleLevel"/>
    <w:tmpl w:val="575A9B2D"/>
    <w:lvl w:ilvl="0" w:tentative="0">
      <w:start w:val="1"/>
      <w:numFmt w:val="decimalEnclosedCircleChinese"/>
      <w:suff w:val="nothing"/>
      <w:lvlText w:val="%1　"/>
      <w:lvlJc w:val="left"/>
      <w:pPr>
        <w:ind w:left="0" w:firstLine="400"/>
      </w:pPr>
      <w:rPr>
        <w:rFonts w:hint="eastAsia"/>
        <w:b/>
        <w:bCs/>
      </w:rPr>
    </w:lvl>
  </w:abstractNum>
  <w:num w:numId="1">
    <w:abstractNumId w:val="4"/>
  </w:num>
  <w:num w:numId="2">
    <w:abstractNumId w:val="1"/>
  </w:num>
  <w:num w:numId="3">
    <w:abstractNumId w:val="5"/>
  </w:num>
  <w:num w:numId="4">
    <w:abstractNumId w:val="6"/>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zZGMzZTdhZGZmY2ZhMTdmNjE0MWUwOWNhZTEyMGIifQ=="/>
  </w:docVars>
  <w:rsids>
    <w:rsidRoot w:val="146F6C5D"/>
    <w:rsid w:val="00111D34"/>
    <w:rsid w:val="00293463"/>
    <w:rsid w:val="003665A6"/>
    <w:rsid w:val="005C0C15"/>
    <w:rsid w:val="00651963"/>
    <w:rsid w:val="006969A0"/>
    <w:rsid w:val="006E4601"/>
    <w:rsid w:val="00761185"/>
    <w:rsid w:val="007739FC"/>
    <w:rsid w:val="008C7B8D"/>
    <w:rsid w:val="009269A2"/>
    <w:rsid w:val="00971EE9"/>
    <w:rsid w:val="009A0645"/>
    <w:rsid w:val="009F5348"/>
    <w:rsid w:val="00A82DDE"/>
    <w:rsid w:val="00AB5644"/>
    <w:rsid w:val="00DE313A"/>
    <w:rsid w:val="00F22B76"/>
    <w:rsid w:val="00FE4757"/>
    <w:rsid w:val="01284C10"/>
    <w:rsid w:val="025138F0"/>
    <w:rsid w:val="030176FB"/>
    <w:rsid w:val="04A42800"/>
    <w:rsid w:val="053F7EC6"/>
    <w:rsid w:val="057235B2"/>
    <w:rsid w:val="05DD0D77"/>
    <w:rsid w:val="05E337FC"/>
    <w:rsid w:val="067D155B"/>
    <w:rsid w:val="07315332"/>
    <w:rsid w:val="07C338E5"/>
    <w:rsid w:val="07D93108"/>
    <w:rsid w:val="07FB4E2D"/>
    <w:rsid w:val="091037C4"/>
    <w:rsid w:val="0976061E"/>
    <w:rsid w:val="099512B1"/>
    <w:rsid w:val="0A595E3B"/>
    <w:rsid w:val="0C8E0BA6"/>
    <w:rsid w:val="0CFE6607"/>
    <w:rsid w:val="0D4C2C07"/>
    <w:rsid w:val="0E197DBB"/>
    <w:rsid w:val="0ECF7FFB"/>
    <w:rsid w:val="0F501F02"/>
    <w:rsid w:val="10284C2D"/>
    <w:rsid w:val="11845E93"/>
    <w:rsid w:val="127759F8"/>
    <w:rsid w:val="12865C3B"/>
    <w:rsid w:val="13117BFA"/>
    <w:rsid w:val="14101C60"/>
    <w:rsid w:val="146F6C5D"/>
    <w:rsid w:val="14B05B25"/>
    <w:rsid w:val="14B20F69"/>
    <w:rsid w:val="15485429"/>
    <w:rsid w:val="169923E1"/>
    <w:rsid w:val="16E3365C"/>
    <w:rsid w:val="172C72E0"/>
    <w:rsid w:val="186C20B1"/>
    <w:rsid w:val="18972950"/>
    <w:rsid w:val="193B7DEE"/>
    <w:rsid w:val="1A5605E9"/>
    <w:rsid w:val="1B60171F"/>
    <w:rsid w:val="1B6F3710"/>
    <w:rsid w:val="1C5A616E"/>
    <w:rsid w:val="1C8431EB"/>
    <w:rsid w:val="1CDA105D"/>
    <w:rsid w:val="1D1A58FD"/>
    <w:rsid w:val="1DDE2DCF"/>
    <w:rsid w:val="1FE3647B"/>
    <w:rsid w:val="208A18F1"/>
    <w:rsid w:val="20EE50D7"/>
    <w:rsid w:val="21606E2F"/>
    <w:rsid w:val="21BF0821"/>
    <w:rsid w:val="222B4109"/>
    <w:rsid w:val="223631D9"/>
    <w:rsid w:val="22A30143"/>
    <w:rsid w:val="235B27CC"/>
    <w:rsid w:val="238B30B1"/>
    <w:rsid w:val="23B32608"/>
    <w:rsid w:val="24681644"/>
    <w:rsid w:val="253B4663"/>
    <w:rsid w:val="25AB3100"/>
    <w:rsid w:val="26FC7E22"/>
    <w:rsid w:val="281E2746"/>
    <w:rsid w:val="2A0D0CC4"/>
    <w:rsid w:val="2A5B7285"/>
    <w:rsid w:val="2B726905"/>
    <w:rsid w:val="2B927C69"/>
    <w:rsid w:val="2C613BFB"/>
    <w:rsid w:val="2D287BC3"/>
    <w:rsid w:val="2D39592C"/>
    <w:rsid w:val="2D88240F"/>
    <w:rsid w:val="2DBB0A37"/>
    <w:rsid w:val="2F6A2714"/>
    <w:rsid w:val="2F745341"/>
    <w:rsid w:val="2FBA7956"/>
    <w:rsid w:val="30CD4206"/>
    <w:rsid w:val="31083F93"/>
    <w:rsid w:val="31E20127"/>
    <w:rsid w:val="334D2131"/>
    <w:rsid w:val="336E3E55"/>
    <w:rsid w:val="33997124"/>
    <w:rsid w:val="34692F9B"/>
    <w:rsid w:val="35301D0A"/>
    <w:rsid w:val="371E2613"/>
    <w:rsid w:val="37F45271"/>
    <w:rsid w:val="38303DCF"/>
    <w:rsid w:val="38376F0C"/>
    <w:rsid w:val="38481119"/>
    <w:rsid w:val="38A547BD"/>
    <w:rsid w:val="396957EB"/>
    <w:rsid w:val="3A830B2E"/>
    <w:rsid w:val="3A993EAE"/>
    <w:rsid w:val="3BB23479"/>
    <w:rsid w:val="3BD219AB"/>
    <w:rsid w:val="3BE850ED"/>
    <w:rsid w:val="3C033CD5"/>
    <w:rsid w:val="3CC64D02"/>
    <w:rsid w:val="3F214472"/>
    <w:rsid w:val="3F79491A"/>
    <w:rsid w:val="3F7B6278"/>
    <w:rsid w:val="3FBD063E"/>
    <w:rsid w:val="3FC5576E"/>
    <w:rsid w:val="40580367"/>
    <w:rsid w:val="40F7192E"/>
    <w:rsid w:val="413D6362"/>
    <w:rsid w:val="41A25D3E"/>
    <w:rsid w:val="44AB315B"/>
    <w:rsid w:val="45196317"/>
    <w:rsid w:val="451B6B9E"/>
    <w:rsid w:val="459B6D2C"/>
    <w:rsid w:val="46470C62"/>
    <w:rsid w:val="46C60C8F"/>
    <w:rsid w:val="47DB3D58"/>
    <w:rsid w:val="4ABC529E"/>
    <w:rsid w:val="4B0B4954"/>
    <w:rsid w:val="4BBB7051"/>
    <w:rsid w:val="4BD74836"/>
    <w:rsid w:val="4D7A191D"/>
    <w:rsid w:val="4F0E157C"/>
    <w:rsid w:val="4FAE58AE"/>
    <w:rsid w:val="521A547C"/>
    <w:rsid w:val="532C36B9"/>
    <w:rsid w:val="536956BA"/>
    <w:rsid w:val="547A48F8"/>
    <w:rsid w:val="5503044A"/>
    <w:rsid w:val="575B1478"/>
    <w:rsid w:val="57C7423C"/>
    <w:rsid w:val="59D64C1F"/>
    <w:rsid w:val="5B1C4013"/>
    <w:rsid w:val="5C904CB9"/>
    <w:rsid w:val="5CA6628A"/>
    <w:rsid w:val="5D6B3030"/>
    <w:rsid w:val="5D7F6ADB"/>
    <w:rsid w:val="5EA42C9D"/>
    <w:rsid w:val="5EAA6F51"/>
    <w:rsid w:val="5EEE569D"/>
    <w:rsid w:val="5F41673E"/>
    <w:rsid w:val="5FC46A6B"/>
    <w:rsid w:val="5FFECA47"/>
    <w:rsid w:val="60FB291D"/>
    <w:rsid w:val="611834CF"/>
    <w:rsid w:val="614824B8"/>
    <w:rsid w:val="61534507"/>
    <w:rsid w:val="618172C6"/>
    <w:rsid w:val="618E3791"/>
    <w:rsid w:val="61A954E6"/>
    <w:rsid w:val="62175534"/>
    <w:rsid w:val="62265BF1"/>
    <w:rsid w:val="654F3237"/>
    <w:rsid w:val="66A60770"/>
    <w:rsid w:val="66AD46B9"/>
    <w:rsid w:val="6A707ED8"/>
    <w:rsid w:val="6AEB755E"/>
    <w:rsid w:val="6B160F51"/>
    <w:rsid w:val="6B2036AC"/>
    <w:rsid w:val="6BA047ED"/>
    <w:rsid w:val="6E895A0C"/>
    <w:rsid w:val="6F0F3EFF"/>
    <w:rsid w:val="6F2E3EBD"/>
    <w:rsid w:val="6FAD1286"/>
    <w:rsid w:val="708B7819"/>
    <w:rsid w:val="72231CD3"/>
    <w:rsid w:val="733F76CD"/>
    <w:rsid w:val="73DA22D0"/>
    <w:rsid w:val="749F7C63"/>
    <w:rsid w:val="758B206A"/>
    <w:rsid w:val="75B73A13"/>
    <w:rsid w:val="769D02A6"/>
    <w:rsid w:val="76C647C4"/>
    <w:rsid w:val="77D65896"/>
    <w:rsid w:val="78872FBC"/>
    <w:rsid w:val="79627585"/>
    <w:rsid w:val="797E1A95"/>
    <w:rsid w:val="79EA1A55"/>
    <w:rsid w:val="7A7B26AD"/>
    <w:rsid w:val="7BED75DA"/>
    <w:rsid w:val="7C6B49A3"/>
    <w:rsid w:val="7C991510"/>
    <w:rsid w:val="7FCC4AD8"/>
    <w:rsid w:val="9ECA572E"/>
    <w:rsid w:val="F3F7F353"/>
    <w:rsid w:val="F75E9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autoRedefine/>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qFormat/>
    <w:uiPriority w:val="0"/>
    <w:rPr>
      <w:rFonts w:ascii="Times New Roman" w:hAnsi="Times New Roman" w:eastAsia="宋体" w:cs="Times New Roman"/>
    </w:rPr>
  </w:style>
  <w:style w:type="character" w:customStyle="1" w:styleId="10">
    <w:name w:val="font21"/>
    <w:basedOn w:val="8"/>
    <w:qFormat/>
    <w:uiPriority w:val="0"/>
    <w:rPr>
      <w:rFonts w:hint="eastAsia" w:ascii="宋体" w:hAnsi="宋体" w:eastAsia="宋体" w:cs="宋体"/>
      <w:color w:val="000000"/>
      <w:sz w:val="22"/>
      <w:szCs w:val="22"/>
      <w:u w:val="none"/>
    </w:rPr>
  </w:style>
  <w:style w:type="character" w:customStyle="1" w:styleId="11">
    <w:name w:val="font41"/>
    <w:basedOn w:val="8"/>
    <w:qFormat/>
    <w:uiPriority w:val="0"/>
    <w:rPr>
      <w:rFonts w:hint="eastAsia" w:ascii="宋体" w:hAnsi="宋体" w:eastAsia="宋体" w:cs="宋体"/>
      <w:color w:val="000000"/>
      <w:sz w:val="22"/>
      <w:szCs w:val="22"/>
      <w:u w:val="none"/>
    </w:rPr>
  </w:style>
  <w:style w:type="character" w:customStyle="1" w:styleId="12">
    <w:name w:val="font01"/>
    <w:basedOn w:val="8"/>
    <w:qFormat/>
    <w:uiPriority w:val="0"/>
    <w:rPr>
      <w:rFonts w:hint="default" w:ascii="STHeiti Light" w:hAnsi="STHeiti Light" w:eastAsia="STHeiti Light" w:cs="STHeiti Light"/>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2808</Words>
  <Characters>2938</Characters>
  <Lines>46</Lines>
  <Paragraphs>12</Paragraphs>
  <TotalTime>1</TotalTime>
  <ScaleCrop>false</ScaleCrop>
  <LinksUpToDate>false</LinksUpToDate>
  <CharactersWithSpaces>3004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2024-03-17T23:54:00Z</dcterms:created>
  <dc:creator>serenarh</dc:creator>
  <cp:lastModifiedBy>九九</cp:lastModifiedBy>
  <dcterms:modified xsi:type="dcterms:W3CDTF">2026-03-19T09:35:46Z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1A179CE8BCFA22DCA74E8469BB32FAFA_43</vt:lpwstr>
  </property>
  <property fmtid="{D5CDD505-2E9C-101B-9397-08002B2CF9AE}" pid="4" name="KSOTemplateDocerSaveRecord">
    <vt:lpwstr>eyJoZGlkIjoiYTM5MTZmNjAyZjEyMzU3OGQ1MDEyNzM2NjEwYTgwOTkiLCJ1c2VySWQiOiIzMDI5Njc5NzYifQ==</vt:lpwstr>
  </property>
</Properties>
</file>