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D3456">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2"/>
          <w:szCs w:val="32"/>
          <w:lang w:val="en-US" w:eastAsia="zh-CN"/>
        </w:rPr>
      </w:pPr>
      <w:r>
        <w:rPr>
          <w:rFonts w:hint="eastAsia" w:ascii="宋体" w:hAnsi="宋体" w:eastAsia="宋体" w:cs="宋体"/>
          <w:b/>
          <w:bCs/>
          <w:kern w:val="2"/>
          <w:sz w:val="32"/>
          <w:szCs w:val="32"/>
          <w:lang w:val="en-US" w:eastAsia="zh-CN" w:bidi="ar-SA"/>
        </w:rPr>
        <w:t>珠海市香洲区人民医院互联网+居家康复服务采购项目</w:t>
      </w:r>
      <w:r>
        <w:rPr>
          <w:rFonts w:hint="eastAsia" w:ascii="宋体" w:hAnsi="宋体" w:eastAsia="宋体" w:cs="宋体"/>
          <w:b/>
          <w:bCs/>
          <w:sz w:val="32"/>
          <w:szCs w:val="32"/>
          <w:lang w:val="en-US" w:eastAsia="zh-CN"/>
        </w:rPr>
        <w:t>采购公告采购需求</w:t>
      </w:r>
    </w:p>
    <w:p w14:paraId="4E7A0A05">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z w:val="24"/>
          <w:szCs w:val="24"/>
          <w:lang w:val="en-US" w:eastAsia="zh-CN"/>
        </w:rPr>
      </w:pPr>
    </w:p>
    <w:p w14:paraId="4026FB42">
      <w:pPr>
        <w:pStyle w:val="10"/>
        <w:keepNext w:val="0"/>
        <w:keepLines w:val="0"/>
        <w:pageBreakBefore w:val="0"/>
        <w:kinsoku/>
        <w:wordWrap/>
        <w:overflowPunct/>
        <w:topLinePunct w:val="0"/>
        <w:autoSpaceDE/>
        <w:autoSpaceDN/>
        <w:bidi w:val="0"/>
        <w:adjustRightInd/>
        <w:snapToGrid/>
        <w:spacing w:line="560" w:lineRule="exact"/>
        <w:ind w:left="482" w:hanging="480" w:hangingChars="200"/>
        <w:textAlignment w:val="auto"/>
        <w:rPr>
          <w:rFonts w:hint="eastAsia" w:ascii="仿宋" w:hAnsi="仿宋" w:eastAsia="仿宋" w:cs="仿宋"/>
          <w:b w:val="0"/>
          <w:bCs w:val="0"/>
          <w:kern w:val="0"/>
          <w:sz w:val="24"/>
          <w:szCs w:val="24"/>
          <w:lang w:val="en-US" w:eastAsia="zh-CN" w:bidi="ar-SA"/>
        </w:rPr>
      </w:pPr>
      <w:r>
        <w:rPr>
          <w:rFonts w:hint="eastAsia" w:ascii="仿宋" w:hAnsi="仿宋" w:eastAsia="仿宋" w:cs="仿宋"/>
          <w:b w:val="0"/>
          <w:bCs w:val="0"/>
          <w:sz w:val="24"/>
          <w:szCs w:val="24"/>
          <w:lang w:val="en-US" w:eastAsia="zh-CN"/>
        </w:rPr>
        <w:t>项目名称：珠海市香洲区人民医院互联网+居家康复服务采购项目</w:t>
      </w:r>
    </w:p>
    <w:p w14:paraId="435BD16B">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b w:val="0"/>
          <w:bCs w:val="0"/>
          <w:kern w:val="0"/>
          <w:sz w:val="24"/>
          <w:szCs w:val="24"/>
          <w:lang w:val="en-US" w:eastAsia="zh-CN" w:bidi="ar-SA"/>
        </w:rPr>
      </w:pPr>
      <w:r>
        <w:rPr>
          <w:rFonts w:hint="eastAsia" w:ascii="仿宋" w:hAnsi="仿宋" w:eastAsia="仿宋" w:cs="仿宋"/>
          <w:b w:val="0"/>
          <w:bCs w:val="0"/>
          <w:sz w:val="24"/>
          <w:szCs w:val="24"/>
          <w:lang w:eastAsia="zh-CN"/>
        </w:rPr>
        <w:t>预算金额：</w:t>
      </w:r>
      <w:r>
        <w:rPr>
          <w:rFonts w:hint="eastAsia" w:ascii="仿宋" w:hAnsi="仿宋" w:eastAsia="仿宋" w:cs="仿宋"/>
          <w:b w:val="0"/>
          <w:bCs w:val="0"/>
          <w:kern w:val="0"/>
          <w:sz w:val="24"/>
          <w:szCs w:val="24"/>
          <w:lang w:val="en-US" w:eastAsia="zh-CN" w:bidi="ar-SA"/>
        </w:rPr>
        <w:t>/</w:t>
      </w:r>
    </w:p>
    <w:p w14:paraId="1D848D67">
      <w:pPr>
        <w:pStyle w:val="10"/>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服务期限：2年（1+1模式）</w:t>
      </w:r>
    </w:p>
    <w:p w14:paraId="58B388A5">
      <w:pPr>
        <w:pStyle w:val="10"/>
        <w:keepNext w:val="0"/>
        <w:keepLines w:val="0"/>
        <w:pageBreakBefore w:val="0"/>
        <w:kinsoku/>
        <w:wordWrap/>
        <w:overflowPunct/>
        <w:topLinePunct w:val="0"/>
        <w:autoSpaceDE/>
        <w:autoSpaceDN/>
        <w:bidi w:val="0"/>
        <w:adjustRightInd/>
        <w:snapToGrid/>
        <w:spacing w:line="560" w:lineRule="exac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费率</w:t>
      </w:r>
      <w:bookmarkStart w:id="5" w:name="_GoBack"/>
      <w:bookmarkEnd w:id="5"/>
      <w:r>
        <w:rPr>
          <w:rFonts w:hint="eastAsia" w:ascii="仿宋" w:hAnsi="仿宋" w:eastAsia="仿宋" w:cs="仿宋"/>
          <w:b w:val="0"/>
          <w:bCs w:val="0"/>
          <w:sz w:val="24"/>
          <w:szCs w:val="24"/>
          <w:lang w:val="en-US" w:eastAsia="zh-CN"/>
        </w:rPr>
        <w:t>限价：</w:t>
      </w:r>
      <w:r>
        <w:rPr>
          <w:rFonts w:hint="eastAsia" w:ascii="仿宋" w:hAnsi="仿宋" w:eastAsia="仿宋" w:cs="仿宋"/>
          <w:b w:val="0"/>
          <w:bCs w:val="0"/>
          <w:sz w:val="24"/>
          <w:szCs w:val="24"/>
          <w:lang w:val="en-US" w:eastAsia="zh-CN"/>
        </w:rPr>
        <w:t>采购人收取的管理费率不低于</w:t>
      </w:r>
      <w:bookmarkStart w:id="0" w:name="OLE_LINK35"/>
      <w:bookmarkStart w:id="1" w:name="OLE_LINK36"/>
      <w:r>
        <w:rPr>
          <w:rFonts w:hint="eastAsia" w:ascii="仿宋" w:hAnsi="仿宋" w:eastAsia="仿宋" w:cs="仿宋"/>
          <w:b w:val="0"/>
          <w:bCs w:val="0"/>
          <w:sz w:val="24"/>
          <w:szCs w:val="24"/>
          <w:lang w:val="en-US" w:eastAsia="zh-CN"/>
        </w:rPr>
        <w:t>总收取套餐费用的52%</w:t>
      </w:r>
      <w:bookmarkEnd w:id="0"/>
      <w:bookmarkEnd w:id="1"/>
    </w:p>
    <w:p w14:paraId="44398481">
      <w:pPr>
        <w:keepNext w:val="0"/>
        <w:keepLines w:val="0"/>
        <w:pageBreakBefore w:val="0"/>
        <w:kinsoku/>
        <w:wordWrap/>
        <w:overflowPunct/>
        <w:topLinePunct w:val="0"/>
        <w:autoSpaceDE/>
        <w:autoSpaceDN/>
        <w:bidi w:val="0"/>
        <w:adjustRightInd/>
        <w:snapToGrid/>
        <w:spacing w:line="560" w:lineRule="exact"/>
        <w:textAlignment w:val="auto"/>
        <w:rPr>
          <w:rFonts w:hint="eastAsia" w:ascii="黑体" w:hAnsi="黑体" w:eastAsia="黑体" w:cs="黑体"/>
          <w:sz w:val="24"/>
          <w:szCs w:val="22"/>
          <w:lang w:val="en-US" w:eastAsia="zh-CN"/>
        </w:rPr>
      </w:pPr>
      <w:r>
        <w:rPr>
          <w:rFonts w:hint="eastAsia" w:ascii="黑体" w:hAnsi="黑体" w:eastAsia="黑体" w:cs="黑体"/>
          <w:sz w:val="24"/>
          <w:szCs w:val="22"/>
          <w:lang w:val="en-US" w:eastAsia="zh-CN"/>
        </w:rPr>
        <w:t>一、资质要求</w:t>
      </w:r>
    </w:p>
    <w:p w14:paraId="678E8068">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1. 投标人具备《中华人民共和国政府采购法》第二十二条规定条件：具有独立承担民事责任的能力；有依法缴纳税收和社会保障资金的良好记录；具有良好的商业信誉和健全的财务会计制度；具有履行合同所必需的设备和专业技术能力；参加采购活动前三年内，在经营活动中没有重大违法记录；以及符合法律、行政法规规定的其他条件 。</w:t>
      </w:r>
    </w:p>
    <w:p w14:paraId="21ACEA01">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2.供应商需提交企业法人营业执照（营业执照经营范围如注明“具体经营项目请登录商事主体 信息公示平台查询”的，须打印商事主体信息公示平台查询页），法人资格证明书/法人授权委托书、卫生虫害防治服务资质证书、白蚁防治服务资质证书。</w:t>
      </w:r>
    </w:p>
    <w:p w14:paraId="00FC5447">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3.投标人未列入“信用中国”网站（www.creditchina.gov.cn）“记录失信被执行人或税收违法黑名单”记录名单；不处于中国政府采购（www.ccgp.gov.cn）中“政府采购严重违法失信行为信息记录”中的禁止参加政府采购活动期间（须提供网站查询截图证明）。</w:t>
      </w:r>
    </w:p>
    <w:p w14:paraId="061AE2CA">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4、单位负责人为同一人的两个及两个以上法人，母公司、全资子公司或存在控股、管理关系的不同单位，都不得在本采购项目中同时投标。</w:t>
      </w:r>
    </w:p>
    <w:p w14:paraId="5ECB7DB4">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5、为采购项目提供整体设计、规范编制或者项目管理、监理、检测等服务的投标人，不得再参加该采购项目同一合同项下的其他采购活动。</w:t>
      </w:r>
    </w:p>
    <w:p w14:paraId="4030A24E">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6、本项目不接受联合体投标、不允许分包、转包。</w:t>
      </w:r>
    </w:p>
    <w:p w14:paraId="3BD924EC">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7、投标人须按照本项目附件《投标人资格声明函》格式提供资格声明及诚信承</w:t>
      </w:r>
    </w:p>
    <w:p w14:paraId="3D27712F">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lang w:val="en-US" w:eastAsia="zh-CN"/>
        </w:rPr>
      </w:pPr>
      <w:r>
        <w:rPr>
          <w:rFonts w:hint="eastAsia" w:ascii="仿宋" w:hAnsi="仿宋" w:eastAsia="仿宋" w:cs="仿宋"/>
          <w:sz w:val="24"/>
          <w:szCs w:val="22"/>
          <w:lang w:val="en-US" w:eastAsia="zh-CN"/>
        </w:rPr>
        <w:t>诺。</w:t>
      </w:r>
    </w:p>
    <w:p w14:paraId="1E03C20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b w:val="0"/>
          <w:bCs/>
          <w:color w:val="auto"/>
          <w:sz w:val="24"/>
          <w:szCs w:val="24"/>
          <w:lang w:val="en-US" w:eastAsia="zh-CN"/>
        </w:rPr>
      </w:pPr>
      <w:bookmarkStart w:id="2" w:name="OLE_LINK30"/>
      <w:bookmarkStart w:id="3" w:name="OLE_LINK21"/>
      <w:bookmarkStart w:id="4" w:name="OLE_LINK31"/>
      <w:r>
        <w:rPr>
          <w:rFonts w:hint="eastAsia" w:ascii="仿宋" w:hAnsi="仿宋" w:eastAsia="仿宋" w:cs="仿宋"/>
          <w:b w:val="0"/>
          <w:bCs/>
          <w:color w:val="auto"/>
          <w:sz w:val="24"/>
          <w:szCs w:val="24"/>
          <w:lang w:val="en-US" w:eastAsia="zh-CN"/>
        </w:rPr>
        <w:t>8、特定资格要求：</w:t>
      </w:r>
    </w:p>
    <w:p w14:paraId="4C872B8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lang w:eastAsia="zh-CN"/>
        </w:rPr>
        <w:t>（</w:t>
      </w:r>
      <w:r>
        <w:rPr>
          <w:rFonts w:hint="eastAsia" w:ascii="仿宋" w:hAnsi="仿宋" w:eastAsia="仿宋" w:cs="仿宋"/>
          <w:b w:val="0"/>
          <w:bCs/>
          <w:color w:val="auto"/>
          <w:sz w:val="24"/>
          <w:szCs w:val="24"/>
        </w:rPr>
        <w:t>1）具有相应</w:t>
      </w:r>
      <w:r>
        <w:rPr>
          <w:rFonts w:hint="eastAsia" w:ascii="仿宋" w:hAnsi="仿宋" w:eastAsia="仿宋" w:cs="仿宋"/>
          <w:b w:val="0"/>
          <w:bCs/>
          <w:color w:val="auto"/>
          <w:sz w:val="24"/>
          <w:szCs w:val="24"/>
          <w:lang w:val="en-US" w:eastAsia="zh-CN"/>
        </w:rPr>
        <w:t>且在有效期内的</w:t>
      </w:r>
      <w:r>
        <w:rPr>
          <w:rFonts w:hint="eastAsia" w:ascii="仿宋" w:hAnsi="仿宋" w:eastAsia="仿宋" w:cs="仿宋"/>
          <w:b w:val="0"/>
          <w:bCs/>
          <w:color w:val="auto"/>
          <w:sz w:val="24"/>
          <w:szCs w:val="24"/>
        </w:rPr>
        <w:t>医疗器械经营许可证（备案）证明或《医疗器械生产企业许可证》。</w:t>
      </w:r>
    </w:p>
    <w:p w14:paraId="5E82363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lang w:eastAsia="zh-CN"/>
        </w:rPr>
        <w:t>（</w:t>
      </w:r>
      <w:r>
        <w:rPr>
          <w:rFonts w:hint="eastAsia" w:ascii="仿宋" w:hAnsi="仿宋" w:eastAsia="仿宋" w:cs="仿宋"/>
          <w:b w:val="0"/>
          <w:bCs/>
          <w:color w:val="auto"/>
          <w:sz w:val="24"/>
          <w:szCs w:val="24"/>
        </w:rPr>
        <w:t>2）医疗器械（第一类医疗器械除外）须提供《医疗器械注册证》。</w:t>
      </w:r>
    </w:p>
    <w:bookmarkEnd w:id="2"/>
    <w:bookmarkEnd w:id="3"/>
    <w:bookmarkEnd w:id="4"/>
    <w:p w14:paraId="25FF261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b w:val="0"/>
          <w:bCs w:val="0"/>
          <w:color w:val="auto"/>
          <w:sz w:val="24"/>
          <w:szCs w:val="24"/>
        </w:rPr>
      </w:pPr>
      <w:r>
        <w:rPr>
          <w:rFonts w:hint="eastAsia" w:ascii="黑体" w:hAnsi="黑体" w:eastAsia="黑体" w:cs="黑体"/>
          <w:b w:val="0"/>
          <w:bCs w:val="0"/>
          <w:color w:val="auto"/>
          <w:sz w:val="24"/>
          <w:szCs w:val="24"/>
          <w:lang w:val="en-US" w:eastAsia="zh-CN"/>
        </w:rPr>
        <w:t>二、</w:t>
      </w:r>
      <w:r>
        <w:rPr>
          <w:rFonts w:hint="eastAsia" w:ascii="黑体" w:hAnsi="黑体" w:eastAsia="黑体" w:cs="黑体"/>
          <w:b w:val="0"/>
          <w:bCs w:val="0"/>
          <w:color w:val="auto"/>
          <w:sz w:val="24"/>
          <w:szCs w:val="24"/>
        </w:rPr>
        <w:t>服务内容及要求</w:t>
      </w:r>
    </w:p>
    <w:p w14:paraId="0723132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1.在技术支持方面，借助互联网、物联网、大数据和人工智能等技术，打造居家医疗综合运营服务平台，实现远程医疗、在线咨询、健康监测等功能，提升医院诊疗效率与覆盖面。</w:t>
      </w:r>
    </w:p>
    <w:p w14:paraId="5C785DC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2.设备供应上，提供生物反馈电刺激治疗仪等多种物联网设备，满足各科室居家康复与健康管理项目需求。服务体系构建上，为患者提供N对一服务，保障患者居家康复效果。</w:t>
      </w:r>
    </w:p>
    <w:p w14:paraId="7F52D2F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3.运营支持层面，</w:t>
      </w:r>
      <w:r>
        <w:rPr>
          <w:rFonts w:hint="eastAsia" w:ascii="仿宋" w:hAnsi="仿宋" w:eastAsia="仿宋" w:cs="仿宋"/>
          <w:color w:val="auto"/>
          <w:sz w:val="24"/>
          <w:szCs w:val="24"/>
          <w:lang w:val="en-US" w:eastAsia="zh-CN"/>
        </w:rPr>
        <w:t>供应商</w:t>
      </w:r>
      <w:r>
        <w:rPr>
          <w:rFonts w:hint="eastAsia" w:ascii="仿宋" w:hAnsi="仿宋" w:eastAsia="仿宋" w:cs="仿宋"/>
          <w:color w:val="auto"/>
          <w:sz w:val="24"/>
          <w:szCs w:val="24"/>
        </w:rPr>
        <w:t>负责软件（医疗健康管理服务平台、移动端管理小程序、患者端APP）、物流（物联网设备往返物流）、检测（设备租赁后的消毒、检测、再包装）等工作，助力采购人开展居家健康管理业务，实现医疗资源合理分配，提高整体医疗服务质量与口碑。</w:t>
      </w:r>
    </w:p>
    <w:p w14:paraId="174C6FF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4.康复配套设备</w:t>
      </w:r>
    </w:p>
    <w:p w14:paraId="538619C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（1）功能要求：支持盆底表面肌电值评估，具备神经肌肉电刺激、肌电触发电刺激、多媒体生物反馈训练四种等核心训练模式，适用于产后子宫复旧、腹直肌</w:t>
      </w:r>
      <w:r>
        <w:rPr>
          <w:rFonts w:hint="eastAsia" w:ascii="仿宋" w:hAnsi="仿宋" w:eastAsia="仿宋" w:cs="仿宋"/>
          <w:color w:val="auto"/>
          <w:sz w:val="24"/>
          <w:szCs w:val="24"/>
          <w:lang w:eastAsia="zh-CN"/>
        </w:rPr>
        <w:t>分离</w:t>
      </w:r>
      <w:r>
        <w:rPr>
          <w:rFonts w:hint="eastAsia" w:ascii="仿宋" w:hAnsi="仿宋" w:eastAsia="仿宋" w:cs="仿宋"/>
          <w:color w:val="auto"/>
          <w:sz w:val="24"/>
          <w:szCs w:val="24"/>
        </w:rPr>
        <w:t>、术后康复和盆底康复等场景。</w:t>
      </w:r>
    </w:p>
    <w:p w14:paraId="1D42DE3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（2）技术性能：设备操作界面简洁易懂，支持与患者端APP、医生端管理系统数据实时同步，可自动记录治疗参数、治疗时长、肌电数据等信息，便于医生远程查看及评估。</w:t>
      </w:r>
    </w:p>
    <w:p w14:paraId="3840712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（3）技术参数要求：</w:t>
      </w:r>
    </w:p>
    <w:p w14:paraId="70A4353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①1通道，包含电刺激、表面肌电采集和生物反馈训练；</w:t>
      </w:r>
    </w:p>
    <w:p w14:paraId="3F74528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②主机具有无线传输功能，可实现主机与APP软件、生物刺激反馈软件等联合使用，实现无线生物反馈，开启多场景生物反馈评估及训练，如站立</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行走</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模拟爬梯等生活场景下的生物反馈训练；</w:t>
      </w:r>
    </w:p>
    <w:p w14:paraId="6E66AA4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③可实现≥4部位治疗方案的开展，且2通道电流独立可调；</w:t>
      </w:r>
    </w:p>
    <w:p w14:paraId="7A04FF2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④输出电流调节步长：1mA。</w:t>
      </w:r>
    </w:p>
    <w:p w14:paraId="48E918BB">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⑤脉冲宽度40μs～1000μs，偏差不超过±30</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w:t>
      </w:r>
    </w:p>
    <w:p w14:paraId="7866773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⑥脉冲频率1Hz～250Hz，偏差不超过±30%；</w:t>
      </w:r>
    </w:p>
    <w:p w14:paraId="63BE4E5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⑦刺激/休息时间：≥30s可调，最小可调节步长1s；</w:t>
      </w:r>
    </w:p>
    <w:p w14:paraId="1AFAE98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⑧实时评估，生物反馈表面肌电评估</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有正常对照值</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评估后自动推荐治疗方案。</w:t>
      </w:r>
    </w:p>
    <w:p w14:paraId="30B0B0D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⑨包含≥2种电刺激模式，包含神经肌肉电刺激、肌电触发电刺激；</w:t>
      </w:r>
    </w:p>
    <w:p w14:paraId="5658534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⑩可自定义治疗方案，并可根据用户习惯对自定义方案进行排序；</w:t>
      </w:r>
    </w:p>
    <w:p w14:paraId="31C67E1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⑪统计分析功能：可汇总导出患者的诊疗记录，可分析统计医生工作量、患者治疗数据以及耗材使用情况；</w:t>
      </w:r>
    </w:p>
    <w:p w14:paraId="1D9250B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⑫可实现多种以及同类多台设备上患者基本信息、诊疗记录和方案参数的实时同步；</w:t>
      </w:r>
    </w:p>
    <w:p w14:paraId="76B0847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⑬支持科室进行可远程治疗的服务配置、医生在线给患者开出治疗方案、在线查看患者的评估报告和治疗记录；智能推荐个性化的处方治疗方案，一键开启治疗；</w:t>
      </w:r>
    </w:p>
    <w:p w14:paraId="2756DC8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⑭支持患者通过APP连接设备，遵医嘱进行居家自助治疗；居家自我评估，医生远程诊断；患者查看历史评估报告、查看治疗记录、远程咨询医生；</w:t>
      </w:r>
    </w:p>
    <w:p w14:paraId="3455A68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⑮支持医生随时远程协同管理患者和为患者远程制定个性化的治疗方案</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患者可远程居家治疗。</w:t>
      </w:r>
    </w:p>
    <w:p w14:paraId="772CD77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5.患者端APP</w:t>
      </w:r>
    </w:p>
    <w:p w14:paraId="45333F6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（1）系统兼容性：同时支持鸿蒙、安卓、ios等主流移动端系统，确保不同设备的患者均能便捷使用。</w:t>
      </w:r>
    </w:p>
    <w:p w14:paraId="2B90C21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（2）核心功能：支持患者接收医生制定的治疗方案；可记录居家治疗过程（治疗时间、模式、参数等）；提供居家评估功能，支持查看历史评估报告、治疗记录；具备远程咨询医生功能（文字、语音咨询）。</w:t>
      </w:r>
    </w:p>
    <w:p w14:paraId="3C630D7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6.医生端小程序：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111103D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7.数据安全：</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定期对信息平台功能、人员、机构、订单等进行设计开发迭代、日常维护与运营管理</w:t>
      </w:r>
      <w:r>
        <w:rPr>
          <w:rFonts w:hint="eastAsia" w:ascii="仿宋" w:hAnsi="仿宋" w:eastAsia="仿宋" w:cs="仿宋"/>
          <w:color w:val="auto"/>
          <w:sz w:val="24"/>
          <w:szCs w:val="24"/>
          <w:lang w:eastAsia="zh-CN"/>
        </w:rPr>
        <w:t>，必须</w:t>
      </w:r>
      <w:r>
        <w:rPr>
          <w:rFonts w:hint="eastAsia" w:ascii="仿宋" w:hAnsi="仿宋" w:eastAsia="仿宋" w:cs="仿宋"/>
          <w:color w:val="auto"/>
          <w:sz w:val="24"/>
          <w:szCs w:val="24"/>
        </w:rPr>
        <w:t>严格执行信息安全和医疗数据保密的有关法律法规，妥善保管患者信息，确保互联网信息技术平台信息安全。系统</w:t>
      </w:r>
      <w:r>
        <w:rPr>
          <w:rFonts w:hint="eastAsia" w:ascii="仿宋" w:hAnsi="仿宋" w:eastAsia="仿宋" w:cs="仿宋"/>
          <w:color w:val="auto"/>
          <w:sz w:val="24"/>
          <w:szCs w:val="24"/>
          <w:lang w:eastAsia="zh-CN"/>
        </w:rPr>
        <w:t>须具备</w:t>
      </w:r>
      <w:r>
        <w:rPr>
          <w:rFonts w:hint="eastAsia" w:ascii="仿宋" w:hAnsi="仿宋" w:eastAsia="仿宋" w:cs="仿宋"/>
          <w:color w:val="auto"/>
          <w:sz w:val="24"/>
          <w:szCs w:val="24"/>
        </w:rPr>
        <w:t>数据加密存储功能，患者隐私信息（姓名、病历、治疗数据等）仅授权医生可查看，防止信息泄露；支持数据备份（本地备份+云端备份），确保数据不丢失。</w:t>
      </w:r>
    </w:p>
    <w:p w14:paraId="0F0CA74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8.</w:t>
      </w:r>
      <w:r>
        <w:rPr>
          <w:rFonts w:hint="eastAsia" w:ascii="仿宋" w:hAnsi="仿宋" w:eastAsia="仿宋" w:cs="仿宋"/>
          <w:color w:val="auto"/>
          <w:sz w:val="24"/>
          <w:szCs w:val="24"/>
          <w:lang w:eastAsia="zh-CN"/>
        </w:rPr>
        <w:t>互联网+居家康复服务</w:t>
      </w:r>
      <w:r>
        <w:rPr>
          <w:rFonts w:hint="eastAsia" w:ascii="仿宋" w:hAnsi="仿宋" w:eastAsia="仿宋" w:cs="仿宋"/>
          <w:color w:val="auto"/>
          <w:sz w:val="24"/>
          <w:szCs w:val="24"/>
        </w:rPr>
        <w:t>：以“互联网+物联网”为核心，围绕盆底功能障碍、术后恢复、产后子宫复旧、产后腹直肌分离</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肩颈康复理疗</w:t>
      </w:r>
      <w:r>
        <w:rPr>
          <w:rFonts w:hint="eastAsia" w:ascii="仿宋" w:hAnsi="仿宋" w:eastAsia="仿宋" w:cs="仿宋"/>
          <w:color w:val="auto"/>
          <w:sz w:val="24"/>
          <w:szCs w:val="24"/>
        </w:rPr>
        <w:t>等居家康复需求，提供精准化、个性化服务。通过生物反馈电刺激治疗仪等设备，实时采集患者康复数据（如盆底肌电值、治疗参数执行情况），结合医生端管理系统实现远程方案调整、康复效果评估及危险预警，完成患者全周期康复数据云端记录与历史查询，强化居家康复数字化管理，提升患者康复依从性与治疗完成率，降低医院康复场地预约压力，提高居家康复服务质量。</w:t>
      </w:r>
    </w:p>
    <w:p w14:paraId="24705A7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9.费用收取：</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按居家康复套餐向患者收取费用，严禁挪用。</w:t>
      </w:r>
    </w:p>
    <w:p w14:paraId="08DF994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10.收费套餐需包含但不限于设备租赁费、耗材费、物流费和消毒等费用（具体费用以具体不同套餐内容为准）；除此之外</w:t>
      </w:r>
      <w:r>
        <w:rPr>
          <w:rFonts w:hint="eastAsia" w:ascii="仿宋" w:hAnsi="仿宋" w:eastAsia="仿宋" w:cs="仿宋"/>
          <w:color w:val="auto"/>
          <w:sz w:val="24"/>
          <w:szCs w:val="24"/>
          <w:lang w:eastAsia="zh-CN"/>
        </w:rPr>
        <w:t>，不得</w:t>
      </w:r>
      <w:r>
        <w:rPr>
          <w:rFonts w:hint="eastAsia" w:ascii="仿宋" w:hAnsi="仿宋" w:eastAsia="仿宋" w:cs="仿宋"/>
          <w:color w:val="auto"/>
          <w:sz w:val="24"/>
          <w:szCs w:val="24"/>
        </w:rPr>
        <w:t>再向患者另行收取其他费用。</w:t>
      </w:r>
    </w:p>
    <w:p w14:paraId="1AEA667C">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11.驻场技术服务：</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需根据采购人居家康复业务推进需求，派遣至少1</w:t>
      </w:r>
      <w:r>
        <w:rPr>
          <w:rFonts w:hint="eastAsia" w:ascii="仿宋" w:hAnsi="仿宋" w:eastAsia="仿宋" w:cs="仿宋"/>
          <w:color w:val="auto"/>
          <w:sz w:val="24"/>
          <w:szCs w:val="24"/>
          <w:lang w:eastAsia="zh-CN"/>
        </w:rPr>
        <w:t>名</w:t>
      </w:r>
      <w:r>
        <w:rPr>
          <w:rFonts w:hint="eastAsia" w:ascii="仿宋" w:hAnsi="仿宋" w:eastAsia="仿宋" w:cs="仿宋"/>
          <w:color w:val="auto"/>
          <w:sz w:val="24"/>
          <w:szCs w:val="24"/>
        </w:rPr>
        <w:t>熟悉盆底康复、产后康复等流程的驻场技术服务人员，具体驻场时长可根据采购人月度业务量动态调整，驻场人员需严格服从采购人内部管理制度（如医护人员行为规范、患者隐私保护规定），接受采购人工作安排。驻场人员</w:t>
      </w:r>
      <w:r>
        <w:rPr>
          <w:rFonts w:hint="eastAsia" w:ascii="仿宋" w:hAnsi="仿宋" w:eastAsia="仿宋" w:cs="仿宋"/>
          <w:color w:val="auto"/>
          <w:sz w:val="24"/>
          <w:szCs w:val="24"/>
          <w:lang w:eastAsia="zh-CN"/>
        </w:rPr>
        <w:t>须</w:t>
      </w:r>
      <w:r>
        <w:rPr>
          <w:rFonts w:hint="eastAsia" w:ascii="仿宋" w:hAnsi="仿宋" w:eastAsia="仿宋" w:cs="仿宋"/>
          <w:color w:val="auto"/>
          <w:sz w:val="24"/>
          <w:szCs w:val="24"/>
        </w:rPr>
        <w:t>持有康复理疗培训证明，确保具备开展服务的相关能力。</w:t>
      </w:r>
    </w:p>
    <w:p w14:paraId="661260A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12.咨询与资料管理：合同期内，</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应无条件提供产品及相关数据分析、操作等服务，负责相关产品技术培训及售后维护等工作。参与该项目所有人员具有保护采购人就诊人员隐私的责任，均不得泄露采购人就诊人员任何信息。</w:t>
      </w:r>
    </w:p>
    <w:p w14:paraId="31831D4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bCs/>
          <w:color w:val="auto"/>
          <w:kern w:val="2"/>
          <w:sz w:val="24"/>
          <w:szCs w:val="24"/>
          <w:highlight w:val="none"/>
          <w:lang w:val="en-US" w:eastAsia="zh-CN"/>
        </w:rPr>
        <w:t>★</w:t>
      </w:r>
      <w:r>
        <w:rPr>
          <w:rFonts w:hint="eastAsia" w:ascii="仿宋" w:hAnsi="仿宋" w:eastAsia="仿宋" w:cs="仿宋"/>
          <w:color w:val="auto"/>
          <w:sz w:val="24"/>
          <w:szCs w:val="24"/>
        </w:rPr>
        <w:t>13.设备全流程质检与消毒：</w:t>
      </w:r>
    </w:p>
    <w:p w14:paraId="49AA31C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每次出租生物反馈电刺激治疗仪等设备前，需对设备进行全面质检：包括功能检测（神经肌肉电刺激、肌电触发电刺激等模式运行状态，数据传输是否稳定）、外观检查（设备外壳、电极片接口、连接线是否完好）、参数校准（肌电值检测精度校准），并填写《设备出库质检记录》，经质检人员签字确认后方可交付患者。</w:t>
      </w:r>
    </w:p>
    <w:p w14:paraId="3E0F696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（2）设备归还后，</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需立即按照医疗消毒标准进行处理、更换一次性接触耗材（如电极片），并对设备性能再次校准，填写《设备回收消毒记录》。</w:t>
      </w:r>
    </w:p>
    <w:p w14:paraId="2AFB2E0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（3）所有质检、消毒记录需按设备唯一编号存档，保存期限不低于3年，采购人有权随时抽查；若因设备未按要求质检、消毒，导致患者使用故障或交叉感染，由</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承担全部赔偿责任。</w:t>
      </w:r>
    </w:p>
    <w:p w14:paraId="1906506C">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14.设备配置要求：</w:t>
      </w:r>
    </w:p>
    <w:p w14:paraId="302DCA3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（1）免费投入居家康复设备大于等于100台，根据采购人实际业务量随时调增；</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对投入设备拥有100%产权，本项目投入的所有设备都应由</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购买设备相关保险。</w:t>
      </w:r>
    </w:p>
    <w:p w14:paraId="4EEB731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提供</w:t>
      </w:r>
      <w:r>
        <w:rPr>
          <w:rFonts w:hint="eastAsia" w:ascii="仿宋" w:hAnsi="仿宋" w:eastAsia="仿宋" w:cs="仿宋"/>
          <w:color w:val="auto"/>
          <w:sz w:val="24"/>
          <w:szCs w:val="24"/>
          <w:lang w:eastAsia="zh-CN"/>
        </w:rPr>
        <w:t>的宣传物料</w:t>
      </w:r>
      <w:r>
        <w:rPr>
          <w:rFonts w:hint="eastAsia" w:ascii="仿宋" w:hAnsi="仿宋" w:eastAsia="仿宋" w:cs="仿宋"/>
          <w:color w:val="auto"/>
          <w:sz w:val="24"/>
          <w:szCs w:val="24"/>
        </w:rPr>
        <w:t>须经过采购人审核和修改后方</w:t>
      </w:r>
      <w:r>
        <w:rPr>
          <w:rFonts w:hint="eastAsia" w:ascii="仿宋" w:hAnsi="仿宋" w:eastAsia="仿宋" w:cs="仿宋"/>
          <w:color w:val="auto"/>
          <w:sz w:val="24"/>
          <w:szCs w:val="24"/>
          <w:lang w:eastAsia="zh-CN"/>
        </w:rPr>
        <w:t>可</w:t>
      </w:r>
      <w:r>
        <w:rPr>
          <w:rFonts w:hint="eastAsia" w:ascii="仿宋" w:hAnsi="仿宋" w:eastAsia="仿宋" w:cs="仿宋"/>
          <w:color w:val="auto"/>
          <w:sz w:val="24"/>
          <w:szCs w:val="24"/>
        </w:rPr>
        <w:t>进行宣传；</w:t>
      </w:r>
    </w:p>
    <w:p w14:paraId="222A95D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（3）生物反馈电刺激治疗仪样机2台：供患者院内体验及医护人员培训使用；</w:t>
      </w:r>
    </w:p>
    <w:p w14:paraId="370282EC">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（4）患者端APP及医生端管理系统免费使用；</w:t>
      </w:r>
    </w:p>
    <w:p w14:paraId="2D0C518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（5）康复设备耗材（阴道电极、电极片、电源等）：按实际患者使用量提供，确保供应充足；</w:t>
      </w:r>
    </w:p>
    <w:p w14:paraId="552C349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（6）对接费用（包括第三方的费用）均由</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承担；医院不再另行支付任何对接费用。</w:t>
      </w:r>
    </w:p>
    <w:p w14:paraId="2528FFA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（7）场地与配套：无需采购人额外提供场地，</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可在院内指定区域，用于患者设备领取、培训及咨询。</w:t>
      </w:r>
    </w:p>
    <w:p w14:paraId="70892D4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15.售后要求：</w:t>
      </w:r>
    </w:p>
    <w:p w14:paraId="0B9FE20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（1）多维服务响应方式：</w:t>
      </w:r>
    </w:p>
    <w:p w14:paraId="2FA9CA4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①在线即时支持，有专属微信客服、平台内置咨询模块，7*12小时响应医护及医患诉求；</w:t>
      </w:r>
    </w:p>
    <w:p w14:paraId="780CF14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②电话支持：24小时专业人员值守服务热线，能解答治疗过程中的相关非医学问题；</w:t>
      </w:r>
    </w:p>
    <w:p w14:paraId="564A8E0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③现场精准支持：在线无法解决的问题，立即启动现场支援流程，高效处置；</w:t>
      </w:r>
    </w:p>
    <w:p w14:paraId="03AF8B1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④团体专项支持：“六师共管”团队中，设备工程师、平台运维</w:t>
      </w:r>
      <w:r>
        <w:rPr>
          <w:rFonts w:hint="eastAsia" w:ascii="仿宋" w:hAnsi="仿宋" w:eastAsia="仿宋" w:cs="仿宋"/>
          <w:color w:val="auto"/>
          <w:sz w:val="24"/>
          <w:szCs w:val="24"/>
          <w:lang w:eastAsia="zh-CN"/>
        </w:rPr>
        <w:t>师</w:t>
      </w:r>
      <w:r>
        <w:rPr>
          <w:rFonts w:hint="eastAsia" w:ascii="仿宋" w:hAnsi="仿宋" w:eastAsia="仿宋" w:cs="仿宋"/>
          <w:color w:val="auto"/>
          <w:sz w:val="24"/>
          <w:szCs w:val="24"/>
        </w:rPr>
        <w:t>提供专项技术支撑，配合康复师保障服务质量。</w:t>
      </w:r>
    </w:p>
    <w:p w14:paraId="2E74EB7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（2）核心服务承诺</w:t>
      </w:r>
    </w:p>
    <w:p w14:paraId="235BAB2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①秉持“响应及时、处置专业、保障到位、服务贴心”原则；</w:t>
      </w:r>
    </w:p>
    <w:p w14:paraId="14508C0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②项目服务期间出现任何问题</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2小时内完成故障响应与需求对接，明确问题类型及处置优先级；​</w:t>
      </w:r>
    </w:p>
    <w:p w14:paraId="6C669F6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③平台系统故障4小时内远程修复，设备故障无法远程修复的，2小时内寄出替换设备，确保不影响正常康复疗程。​</w:t>
      </w:r>
    </w:p>
    <w:p w14:paraId="42171E6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④24小时内解决各类问题，恢复平台运行与设备使用。</w:t>
      </w:r>
    </w:p>
    <w:p w14:paraId="1E0B63B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（3）全周期售后服务</w:t>
      </w:r>
    </w:p>
    <w:p w14:paraId="6D4B09E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①质保与维护：项目整体质保期为</w:t>
      </w:r>
      <w:r>
        <w:rPr>
          <w:rFonts w:hint="default" w:ascii="仿宋" w:hAnsi="仿宋" w:eastAsia="仿宋" w:cs="仿宋"/>
          <w:color w:val="auto"/>
          <w:sz w:val="24"/>
          <w:szCs w:val="24"/>
          <w:lang w:val="en-US"/>
        </w:rPr>
        <w:t>2</w:t>
      </w:r>
      <w:r>
        <w:rPr>
          <w:rFonts w:hint="eastAsia" w:ascii="仿宋" w:hAnsi="仿宋" w:eastAsia="仿宋" w:cs="仿宋"/>
          <w:color w:val="auto"/>
          <w:sz w:val="24"/>
          <w:szCs w:val="24"/>
        </w:rPr>
        <w:t>年，自验收合格之日起计算</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由采购人申请科室代表、使用科室代表、医学装备科代表、信息管理部代表等，同时供应商需委派本项目负责人参与验收）</w:t>
      </w:r>
      <w:r>
        <w:rPr>
          <w:rFonts w:hint="eastAsia" w:ascii="仿宋" w:hAnsi="仿宋" w:eastAsia="仿宋" w:cs="仿宋"/>
          <w:color w:val="auto"/>
          <w:sz w:val="24"/>
          <w:szCs w:val="24"/>
        </w:rPr>
        <w:t>。质保期内，平台系统免费升级、设备免费维修更换、“六师共管”团队服务免费保障。</w:t>
      </w:r>
    </w:p>
    <w:p w14:paraId="363F5B1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②全时技术支撑：提供7×24小时全天候技术支持，实时监控平台运行状态，提前预警数据异常、系统漏洞等风险，保障服务连续性。​</w:t>
      </w:r>
    </w:p>
    <w:p w14:paraId="492838F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③定期巡检与维护：每年开展不少于2次现场全面巡检，内容涵盖平台性能优化、设备校准维护、数据安全排查、服务流程梳理；每季度进行一次远程系统健康监测，及时解决潜在问题。​</w:t>
      </w:r>
    </w:p>
    <w:p w14:paraId="78D1FEF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④升级与培训迭代：根据医疗政策更新、临床需求变化及技术发展，不定期提供平台功能升级服务；每半年组织一次医护人员强化培训，同步更新服务规范与操作指南。</w:t>
      </w:r>
    </w:p>
    <w:p w14:paraId="6F65E02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⑤服务质量跟踪与管控：建立客户满意度跟踪系统，通过电话回访、线上问卷等方式收集医护反馈；持续优化服务质量。​</w:t>
      </w:r>
    </w:p>
    <w:p w14:paraId="7D85FFF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⑥投诉纠纷处理：</w:t>
      </w:r>
      <w:r>
        <w:rPr>
          <w:rFonts w:hint="eastAsia" w:ascii="仿宋" w:hAnsi="仿宋" w:eastAsia="仿宋" w:cs="仿宋"/>
          <w:color w:val="auto"/>
          <w:sz w:val="24"/>
          <w:szCs w:val="24"/>
        </w:rPr>
        <w:t>针对本项目可能产生的各类纠纷（涵盖收费争议、人身伤害、设备操作、服务流程等），供应商应设立专员负责制，确保相关投诉与纠纷得到及时响应和有效解决。</w:t>
      </w:r>
    </w:p>
    <w:p w14:paraId="453632B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bCs/>
          <w:color w:val="auto"/>
          <w:kern w:val="2"/>
          <w:sz w:val="24"/>
          <w:szCs w:val="24"/>
          <w:highlight w:val="none"/>
          <w:lang w:val="en-US" w:eastAsia="zh-CN"/>
        </w:rPr>
        <w:t>★</w:t>
      </w:r>
      <w:r>
        <w:rPr>
          <w:rFonts w:hint="eastAsia" w:ascii="仿宋" w:hAnsi="仿宋" w:eastAsia="仿宋" w:cs="仿宋"/>
          <w:color w:val="auto"/>
          <w:sz w:val="24"/>
          <w:szCs w:val="24"/>
        </w:rPr>
        <w:t>16.</w:t>
      </w:r>
      <w:r>
        <w:rPr>
          <w:rFonts w:hint="eastAsia" w:ascii="仿宋" w:hAnsi="仿宋" w:eastAsia="仿宋" w:cs="仿宋"/>
          <w:color w:val="auto"/>
          <w:sz w:val="24"/>
          <w:szCs w:val="24"/>
          <w:lang w:val="en-US" w:eastAsia="zh-CN"/>
        </w:rPr>
        <w:t>设备押金：患者租赁设备时，供应商可收取押金，患者归还设备且设备无损坏后，供应商需在7个工作日内全额退还押金；押金不得挪作他用，若因押金问题引发纠纷，由供应商全权负责。</w:t>
      </w:r>
    </w:p>
    <w:p w14:paraId="6C52BFA8">
      <w:pPr>
        <w:keepNext w:val="0"/>
        <w:keepLines w:val="0"/>
        <w:pageBreakBefore w:val="0"/>
        <w:kinsoku/>
        <w:wordWrap/>
        <w:overflowPunct/>
        <w:topLinePunct w:val="0"/>
        <w:autoSpaceDE/>
        <w:autoSpaceDN/>
        <w:bidi w:val="0"/>
        <w:adjustRightInd/>
        <w:snapToGrid/>
        <w:spacing w:line="560" w:lineRule="exact"/>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17.收费机制：本项目</w:t>
      </w:r>
      <w:r>
        <w:rPr>
          <w:rFonts w:hint="eastAsia" w:ascii="仿宋" w:hAnsi="仿宋" w:eastAsia="仿宋" w:cs="仿宋"/>
          <w:i w:val="0"/>
          <w:iCs w:val="0"/>
          <w:caps w:val="0"/>
          <w:color w:val="auto"/>
          <w:spacing w:val="0"/>
          <w:sz w:val="24"/>
          <w:szCs w:val="24"/>
          <w:shd w:val="clear"/>
        </w:rPr>
        <w:t>须由采购人医师开具</w:t>
      </w:r>
      <w:r>
        <w:rPr>
          <w:rFonts w:hint="eastAsia" w:ascii="仿宋" w:hAnsi="仿宋" w:eastAsia="仿宋" w:cs="仿宋"/>
          <w:i w:val="0"/>
          <w:iCs w:val="0"/>
          <w:caps w:val="0"/>
          <w:color w:val="auto"/>
          <w:spacing w:val="0"/>
          <w:sz w:val="24"/>
          <w:szCs w:val="24"/>
          <w:shd w:val="clear"/>
          <w:lang w:eastAsia="zh-CN"/>
        </w:rPr>
        <w:t>相关居家</w:t>
      </w:r>
      <w:r>
        <w:rPr>
          <w:rFonts w:hint="eastAsia" w:ascii="仿宋" w:hAnsi="仿宋" w:eastAsia="仿宋" w:cs="仿宋"/>
          <w:i w:val="0"/>
          <w:iCs w:val="0"/>
          <w:caps w:val="0"/>
          <w:color w:val="auto"/>
          <w:spacing w:val="0"/>
          <w:sz w:val="24"/>
          <w:szCs w:val="24"/>
          <w:shd w:val="clear"/>
        </w:rPr>
        <w:t>康复服务项目医嘱后，方可触发后续服务与收费流程。供应商须建立（或提供）统一的三方收费管理平台，该平台</w:t>
      </w:r>
      <w:r>
        <w:rPr>
          <w:rFonts w:hint="eastAsia" w:ascii="仿宋" w:hAnsi="仿宋" w:eastAsia="仿宋" w:cs="仿宋"/>
          <w:i w:val="0"/>
          <w:iCs w:val="0"/>
          <w:caps w:val="0"/>
          <w:color w:val="auto"/>
          <w:spacing w:val="0"/>
          <w:sz w:val="24"/>
          <w:szCs w:val="24"/>
          <w:shd w:val="clear"/>
          <w:lang w:eastAsia="zh-CN"/>
        </w:rPr>
        <w:t>须具备</w:t>
      </w:r>
      <w:r>
        <w:rPr>
          <w:rFonts w:hint="eastAsia" w:ascii="仿宋" w:hAnsi="仿宋" w:eastAsia="仿宋" w:cs="仿宋"/>
          <w:i w:val="0"/>
          <w:iCs w:val="0"/>
          <w:caps w:val="0"/>
          <w:color w:val="auto"/>
          <w:spacing w:val="0"/>
          <w:sz w:val="24"/>
          <w:szCs w:val="24"/>
          <w:shd w:val="clear"/>
        </w:rPr>
        <w:t>完善的财务结算与监管功能，必须满足采购人使用科室、财务/审计核查部门及供应商三方的实时对账、数据查询与业务监管需求，确保资金流向清晰、账实相符</w:t>
      </w:r>
      <w:r>
        <w:rPr>
          <w:rFonts w:hint="eastAsia" w:ascii="仿宋" w:hAnsi="仿宋" w:eastAsia="仿宋" w:cs="仿宋"/>
          <w:color w:val="auto"/>
          <w:sz w:val="24"/>
          <w:szCs w:val="24"/>
          <w:lang w:val="en-US" w:eastAsia="zh-CN"/>
        </w:rPr>
        <w:t>。</w:t>
      </w:r>
    </w:p>
    <w:p w14:paraId="584C4AF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1</w:t>
      </w:r>
      <w:r>
        <w:rPr>
          <w:rFonts w:hint="eastAsia" w:ascii="仿宋" w:hAnsi="仿宋" w:eastAsia="仿宋" w:cs="仿宋"/>
          <w:color w:val="auto"/>
          <w:sz w:val="24"/>
          <w:szCs w:val="24"/>
          <w:lang w:val="en-US" w:eastAsia="zh-CN"/>
        </w:rPr>
        <w:t>8</w:t>
      </w:r>
      <w:r>
        <w:rPr>
          <w:rFonts w:hint="eastAsia" w:ascii="仿宋" w:hAnsi="仿宋" w:eastAsia="仿宋" w:cs="仿宋"/>
          <w:color w:val="auto"/>
          <w:sz w:val="24"/>
          <w:szCs w:val="24"/>
        </w:rPr>
        <w:t>.退费规定</w:t>
      </w:r>
    </w:p>
    <w:p w14:paraId="6C51EE8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（1）退费机制：患者提出退费需求，</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和采购人同步相关信息，根据采购人意见确定退费方式，由采购人通知客服做退费处理。</w:t>
      </w:r>
    </w:p>
    <w:p w14:paraId="53357CE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耗材未拆封，患者未开启疗程服务，费用全额退款；耗材已拆封，已开启疗程服务，套餐费用扣除项目耗材费用，余额按照项目疗程次数的均值即为单次的治疗费用，扣除已做次数的治疗费后退回，例：退费金额={（套餐费用-耗材）/</w:t>
      </w:r>
      <w:r>
        <w:rPr>
          <w:rFonts w:hint="eastAsia" w:ascii="仿宋" w:hAnsi="仿宋" w:eastAsia="仿宋" w:cs="仿宋"/>
          <w:color w:val="auto"/>
          <w:sz w:val="24"/>
          <w:szCs w:val="24"/>
          <w:lang w:val="en-US" w:eastAsia="zh-CN"/>
        </w:rPr>
        <w:t>套餐基数</w:t>
      </w:r>
      <w:r>
        <w:rPr>
          <w:rFonts w:hint="eastAsia" w:ascii="仿宋" w:hAnsi="仿宋" w:eastAsia="仿宋" w:cs="仿宋"/>
          <w:color w:val="auto"/>
          <w:sz w:val="24"/>
          <w:szCs w:val="24"/>
        </w:rPr>
        <w:t>次数}*（套餐</w:t>
      </w:r>
      <w:r>
        <w:rPr>
          <w:rFonts w:hint="eastAsia" w:ascii="仿宋" w:hAnsi="仿宋" w:eastAsia="仿宋" w:cs="仿宋"/>
          <w:color w:val="auto"/>
          <w:sz w:val="24"/>
          <w:szCs w:val="24"/>
          <w:lang w:val="en-US" w:eastAsia="zh-CN"/>
        </w:rPr>
        <w:t>基数</w:t>
      </w:r>
      <w:r>
        <w:rPr>
          <w:rFonts w:hint="eastAsia" w:ascii="仿宋" w:hAnsi="仿宋" w:eastAsia="仿宋" w:cs="仿宋"/>
          <w:color w:val="auto"/>
          <w:sz w:val="24"/>
          <w:szCs w:val="24"/>
        </w:rPr>
        <w:t>次数-已做次数）。</w:t>
      </w:r>
    </w:p>
    <w:p w14:paraId="7813E83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（3）如患者有特殊情况的，经采购人沟通后视实际情况做部分或全额退费。</w:t>
      </w:r>
    </w:p>
    <w:p w14:paraId="67481AFB">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（4）设备使用安全管理规范适用范围：明确适用场景（如术后康复、功能障碍康复等）、适用人群、适用设备界定规范边界。</w:t>
      </w:r>
    </w:p>
    <w:p w14:paraId="224F277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（5）评估与适配管理：患者个体评估：由专业医护/康复师通过评估，确认患者身体状况，排除禁忌证。</w:t>
      </w:r>
    </w:p>
    <w:p w14:paraId="26D03F8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w:t>
      </w:r>
      <w:r>
        <w:rPr>
          <w:rFonts w:hint="eastAsia" w:ascii="仿宋" w:hAnsi="仿宋" w:eastAsia="仿宋" w:cs="仿宋"/>
          <w:color w:val="auto"/>
          <w:sz w:val="24"/>
          <w:szCs w:val="24"/>
          <w:lang w:val="en-US" w:eastAsia="zh-CN"/>
        </w:rPr>
        <w:t>9</w:t>
      </w:r>
      <w:r>
        <w:rPr>
          <w:rFonts w:hint="eastAsia" w:ascii="仿宋" w:hAnsi="仿宋" w:eastAsia="仿宋" w:cs="仿宋"/>
          <w:color w:val="auto"/>
          <w:sz w:val="24"/>
          <w:szCs w:val="24"/>
        </w:rPr>
        <w:t>.设备安全管理：仅允许使用经国家认证、在保质期内的康复设备，留存设备合格证、说明书，建立设备台账（含型号、购买时间、维护记录）。</w:t>
      </w:r>
    </w:p>
    <w:p w14:paraId="22C47EC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bCs/>
          <w:color w:val="auto"/>
          <w:kern w:val="2"/>
          <w:sz w:val="24"/>
          <w:szCs w:val="24"/>
          <w:highlight w:val="none"/>
          <w:lang w:val="en-US" w:eastAsia="zh-CN"/>
        </w:rPr>
        <w:t>★</w:t>
      </w:r>
      <w:r>
        <w:rPr>
          <w:rFonts w:hint="eastAsia" w:ascii="仿宋" w:hAnsi="仿宋" w:eastAsia="仿宋" w:cs="仿宋"/>
          <w:color w:val="auto"/>
          <w:sz w:val="24"/>
          <w:szCs w:val="24"/>
          <w:lang w:val="en-US" w:eastAsia="zh-CN"/>
        </w:rPr>
        <w:t>20</w:t>
      </w:r>
      <w:r>
        <w:rPr>
          <w:rFonts w:hint="eastAsia" w:ascii="仿宋" w:hAnsi="仿宋" w:eastAsia="仿宋" w:cs="仿宋"/>
          <w:color w:val="auto"/>
          <w:sz w:val="24"/>
          <w:szCs w:val="24"/>
        </w:rPr>
        <w:t>.如遇国家或上级主管部门相关政策调整，按照新政策执行，采购人有权相应变更或解除合同，且不承担任何责任。</w:t>
      </w:r>
    </w:p>
    <w:p w14:paraId="2186B38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highlight w:val="none"/>
          <w:lang w:eastAsia="zh-CN"/>
        </w:rPr>
      </w:pPr>
      <w:r>
        <w:rPr>
          <w:rFonts w:hint="eastAsia" w:ascii="仿宋" w:hAnsi="仿宋" w:eastAsia="仿宋" w:cs="仿宋"/>
          <w:bCs/>
          <w:color w:val="auto"/>
          <w:kern w:val="2"/>
          <w:sz w:val="24"/>
          <w:szCs w:val="24"/>
          <w:highlight w:val="none"/>
          <w:lang w:val="en-US" w:eastAsia="zh-CN"/>
        </w:rPr>
        <w:t>★</w:t>
      </w:r>
      <w:r>
        <w:rPr>
          <w:rFonts w:hint="eastAsia" w:ascii="仿宋" w:hAnsi="仿宋" w:eastAsia="仿宋" w:cs="仿宋"/>
          <w:color w:val="auto"/>
          <w:sz w:val="24"/>
          <w:szCs w:val="24"/>
          <w:highlight w:val="none"/>
          <w:lang w:val="en-US" w:eastAsia="zh-CN"/>
        </w:rPr>
        <w:t>21.服务内容见附件1：居家康复服务项目收费表（附件1</w:t>
      </w:r>
      <w:r>
        <w:rPr>
          <w:rFonts w:hint="eastAsia" w:ascii="仿宋" w:hAnsi="仿宋" w:eastAsia="仿宋" w:cs="仿宋"/>
          <w:color w:val="auto"/>
          <w:sz w:val="24"/>
          <w:szCs w:val="24"/>
          <w:highlight w:val="none"/>
        </w:rPr>
        <w:t>居家</w:t>
      </w:r>
      <w:r>
        <w:rPr>
          <w:rFonts w:hint="eastAsia" w:ascii="仿宋" w:hAnsi="仿宋" w:eastAsia="仿宋" w:cs="仿宋"/>
          <w:color w:val="auto"/>
          <w:sz w:val="24"/>
          <w:szCs w:val="24"/>
          <w:highlight w:val="none"/>
          <w:lang w:val="en-US" w:eastAsia="zh-CN"/>
        </w:rPr>
        <w:t>收费标准由供应商制定并提交采购人,合法合规，实际收费标准不得超过附件1收费上限，采购人有权根据实际情况对项目进行调整建议；供应商须承担因定价不合理、违规收费等引发的全部责任。</w:t>
      </w:r>
      <w:r>
        <w:rPr>
          <w:rFonts w:hint="eastAsia" w:ascii="仿宋" w:hAnsi="仿宋" w:eastAsia="仿宋" w:cs="仿宋"/>
          <w:color w:val="auto"/>
          <w:sz w:val="24"/>
          <w:szCs w:val="24"/>
          <w:highlight w:val="none"/>
          <w:lang w:eastAsia="zh-CN"/>
        </w:rPr>
        <w:t>）</w:t>
      </w:r>
    </w:p>
    <w:p w14:paraId="7A715AE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三、</w:t>
      </w:r>
      <w:r>
        <w:rPr>
          <w:rFonts w:hint="eastAsia" w:ascii="黑体" w:hAnsi="黑体" w:eastAsia="黑体" w:cs="黑体"/>
          <w:b w:val="0"/>
          <w:bCs w:val="0"/>
          <w:color w:val="auto"/>
          <w:sz w:val="24"/>
          <w:szCs w:val="24"/>
        </w:rPr>
        <w:t>商务条款</w:t>
      </w:r>
      <w:r>
        <w:rPr>
          <w:rFonts w:hint="eastAsia" w:ascii="黑体" w:hAnsi="黑体" w:eastAsia="黑体" w:cs="黑体"/>
          <w:b w:val="0"/>
          <w:bCs w:val="0"/>
          <w:color w:val="auto"/>
          <w:sz w:val="24"/>
          <w:szCs w:val="24"/>
          <w:lang w:val="en-US" w:eastAsia="zh-CN"/>
        </w:rPr>
        <w:t>要求</w:t>
      </w:r>
    </w:p>
    <w:p w14:paraId="5DC55EC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1.服务期限及地点：</w:t>
      </w:r>
    </w:p>
    <w:p w14:paraId="4A8A6540">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rPr>
        <w:t>（1）服务期：合同签订后7天内完成平台搭建及首批设备投放，后续服务按项目</w:t>
      </w:r>
      <w:r>
        <w:rPr>
          <w:rFonts w:hint="eastAsia" w:ascii="仿宋" w:hAnsi="仿宋" w:eastAsia="仿宋" w:cs="仿宋"/>
          <w:b w:val="0"/>
          <w:bCs w:val="0"/>
          <w:color w:val="auto"/>
          <w:sz w:val="24"/>
          <w:szCs w:val="24"/>
          <w:lang w:val="en-US" w:eastAsia="zh-CN"/>
        </w:rPr>
        <w:t>周期持续提供，自合同签订之日起二年。合同采用1+1模式，在第一年度服务期届满之日前1个月内对供应商的服务质量进行考核，若考核达标（90分及以上），</w:t>
      </w:r>
      <w:r>
        <w:rPr>
          <w:rFonts w:hint="eastAsia" w:ascii="仿宋" w:hAnsi="仿宋" w:eastAsia="仿宋" w:cs="仿宋"/>
          <w:color w:val="auto"/>
          <w:sz w:val="24"/>
          <w:szCs w:val="24"/>
          <w:lang w:val="en-US" w:eastAsia="zh-CN"/>
        </w:rPr>
        <w:t>则自动续签第二年合同，若考核不达标，采购人有权终止合同。考核标准详见本需求表附件2：互联网+居家康复服务项目质量考核评分表。</w:t>
      </w:r>
    </w:p>
    <w:p w14:paraId="4B893ED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（2）服务地点：珠海市</w:t>
      </w:r>
      <w:r>
        <w:rPr>
          <w:rFonts w:hint="eastAsia" w:ascii="仿宋" w:hAnsi="仿宋" w:eastAsia="仿宋" w:cs="仿宋"/>
          <w:color w:val="auto"/>
          <w:sz w:val="24"/>
          <w:szCs w:val="24"/>
          <w:lang w:val="en-US" w:eastAsia="zh-CN"/>
        </w:rPr>
        <w:t>香洲区人民医院</w:t>
      </w:r>
      <w:r>
        <w:rPr>
          <w:rFonts w:hint="eastAsia" w:ascii="仿宋" w:hAnsi="仿宋" w:eastAsia="仿宋" w:cs="仿宋"/>
          <w:color w:val="auto"/>
          <w:sz w:val="24"/>
          <w:szCs w:val="24"/>
        </w:rPr>
        <w:t>全院。</w:t>
      </w:r>
    </w:p>
    <w:p w14:paraId="26F3314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2.考核要求：</w:t>
      </w:r>
    </w:p>
    <w:p w14:paraId="7CA36F3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考核标准：采购人于每一年度服务期届满之日前1个月内对</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的服务质量进行考核，考核得分≥90分的，即视为考核合格，</w:t>
      </w:r>
      <w:r>
        <w:rPr>
          <w:rFonts w:hint="eastAsia" w:ascii="仿宋" w:hAnsi="仿宋" w:eastAsia="仿宋" w:cs="仿宋"/>
          <w:color w:val="auto"/>
          <w:sz w:val="24"/>
          <w:szCs w:val="24"/>
          <w:lang w:val="en-US" w:eastAsia="zh-CN"/>
        </w:rPr>
        <w:t>服务合同自动续签</w:t>
      </w:r>
      <w:r>
        <w:rPr>
          <w:rFonts w:hint="eastAsia" w:ascii="仿宋" w:hAnsi="仿宋" w:eastAsia="仿宋" w:cs="仿宋"/>
          <w:color w:val="auto"/>
          <w:sz w:val="24"/>
          <w:szCs w:val="24"/>
        </w:rPr>
        <w:t>。考核得分</w:t>
      </w:r>
      <w:r>
        <w:rPr>
          <w:rFonts w:hint="eastAsia" w:ascii="仿宋" w:hAnsi="仿宋" w:eastAsia="仿宋" w:cs="仿宋"/>
          <w:color w:val="auto"/>
          <w:sz w:val="24"/>
          <w:szCs w:val="24"/>
          <w:lang w:val="en-US" w:eastAsia="zh-CN"/>
        </w:rPr>
        <w:t>＜</w:t>
      </w:r>
      <w:r>
        <w:rPr>
          <w:rFonts w:hint="eastAsia" w:ascii="仿宋" w:hAnsi="仿宋" w:eastAsia="仿宋" w:cs="仿宋"/>
          <w:color w:val="auto"/>
          <w:sz w:val="24"/>
          <w:szCs w:val="24"/>
        </w:rPr>
        <w:t>90分的，即视为考核不及格，</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不具备续签资格。具体考核标准</w:t>
      </w:r>
      <w:r>
        <w:rPr>
          <w:rFonts w:hint="eastAsia" w:ascii="仿宋" w:hAnsi="仿宋" w:eastAsia="仿宋" w:cs="仿宋"/>
          <w:color w:val="auto"/>
          <w:sz w:val="24"/>
          <w:szCs w:val="24"/>
          <w:lang w:val="en-US" w:eastAsia="zh-CN"/>
        </w:rPr>
        <w:t>见附件2</w:t>
      </w:r>
      <w:r>
        <w:rPr>
          <w:rFonts w:hint="eastAsia" w:ascii="仿宋" w:hAnsi="仿宋" w:eastAsia="仿宋" w:cs="仿宋"/>
          <w:color w:val="auto"/>
          <w:sz w:val="24"/>
          <w:szCs w:val="24"/>
        </w:rPr>
        <w:t>：</w:t>
      </w:r>
    </w:p>
    <w:p w14:paraId="25596EA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3.付款方式：</w:t>
      </w:r>
    </w:p>
    <w:p w14:paraId="6D07053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管理费用缴纳：每月10日前缴纳上月</w:t>
      </w:r>
      <w:r>
        <w:rPr>
          <w:rFonts w:hint="eastAsia" w:ascii="仿宋" w:hAnsi="仿宋" w:eastAsia="仿宋" w:cs="仿宋"/>
          <w:color w:val="auto"/>
          <w:sz w:val="24"/>
          <w:szCs w:val="24"/>
          <w:lang w:eastAsia="zh-CN"/>
        </w:rPr>
        <w:t>管理费</w:t>
      </w:r>
      <w:r>
        <w:rPr>
          <w:rFonts w:hint="eastAsia" w:ascii="仿宋" w:hAnsi="仿宋" w:eastAsia="仿宋" w:cs="仿宋"/>
          <w:color w:val="auto"/>
          <w:sz w:val="24"/>
          <w:szCs w:val="24"/>
        </w:rPr>
        <w:t>（管理费=总收取套餐费用</w:t>
      </w:r>
      <w:r>
        <w:rPr>
          <w:rFonts w:hint="eastAsia" w:ascii="仿宋" w:hAnsi="仿宋" w:eastAsia="仿宋" w:cs="仿宋"/>
          <w:color w:val="auto"/>
          <w:sz w:val="24"/>
          <w:szCs w:val="24"/>
          <w:lang w:val="en-US" w:eastAsia="zh-CN"/>
        </w:rPr>
        <w:t>*</w:t>
      </w:r>
      <w:r>
        <w:rPr>
          <w:rFonts w:hint="eastAsia" w:ascii="仿宋" w:hAnsi="仿宋" w:eastAsia="仿宋" w:cs="仿宋"/>
          <w:color w:val="auto"/>
          <w:sz w:val="24"/>
          <w:szCs w:val="24"/>
        </w:rPr>
        <w:t>管理费率+违约金（如有））；逾期缴纳的，每日按应缴金额的3‰收取违约金；逾期超过1个月的，采购人有权终止合同，</w:t>
      </w:r>
      <w:r>
        <w:rPr>
          <w:rFonts w:hint="eastAsia" w:ascii="仿宋" w:hAnsi="仿宋" w:eastAsia="仿宋" w:cs="仿宋"/>
          <w:color w:val="auto"/>
          <w:sz w:val="24"/>
          <w:szCs w:val="24"/>
          <w:lang w:eastAsia="zh-CN"/>
        </w:rPr>
        <w:t>供应商</w:t>
      </w:r>
      <w:r>
        <w:rPr>
          <w:rFonts w:hint="eastAsia" w:ascii="仿宋" w:hAnsi="仿宋" w:eastAsia="仿宋" w:cs="仿宋"/>
          <w:color w:val="auto"/>
          <w:sz w:val="24"/>
          <w:szCs w:val="24"/>
        </w:rPr>
        <w:t>需赔偿由此造成的损失。</w:t>
      </w:r>
    </w:p>
    <w:p w14:paraId="76F91D5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4</w:t>
      </w:r>
      <w:r>
        <w:rPr>
          <w:rFonts w:hint="eastAsia" w:ascii="仿宋" w:hAnsi="仿宋" w:eastAsia="仿宋" w:cs="仿宋"/>
          <w:color w:val="auto"/>
          <w:sz w:val="24"/>
          <w:szCs w:val="24"/>
        </w:rPr>
        <w:t>.包装与运输要求：物联网设备采用符合医疗设备运输标准的包装，具备防震、防潮、防碰撞功能；运输过</w:t>
      </w:r>
      <w:r>
        <w:rPr>
          <w:rFonts w:hint="eastAsia" w:ascii="仿宋" w:hAnsi="仿宋" w:eastAsia="仿宋" w:cs="仿宋"/>
          <w:color w:val="auto"/>
          <w:sz w:val="24"/>
          <w:szCs w:val="24"/>
          <w:lang w:eastAsia="zh-CN"/>
        </w:rPr>
        <w:t>程中</w:t>
      </w:r>
      <w:r>
        <w:rPr>
          <w:rFonts w:hint="eastAsia" w:ascii="仿宋" w:hAnsi="仿宋" w:eastAsia="仿宋" w:cs="仿宋"/>
          <w:color w:val="auto"/>
          <w:sz w:val="24"/>
          <w:szCs w:val="24"/>
        </w:rPr>
        <w:t>委托具备医疗物资运输资质的物流公司，确保设备安全，到货后需提供运输及设备完好证明。</w:t>
      </w:r>
    </w:p>
    <w:p w14:paraId="67F30A9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5</w:t>
      </w:r>
      <w:r>
        <w:rPr>
          <w:rFonts w:hint="eastAsia" w:ascii="仿宋" w:hAnsi="仿宋" w:eastAsia="仿宋" w:cs="仿宋"/>
          <w:color w:val="auto"/>
          <w:sz w:val="24"/>
          <w:szCs w:val="24"/>
        </w:rPr>
        <w:t>.培训要求</w:t>
      </w:r>
    </w:p>
    <w:p w14:paraId="209BD5D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（1）医护人员培训：至少组织2次集中培训（项目启动前1次，启动后3个月内1次），培训内容包括系统操作、方案制定、异常处理等，提供培训视频、操作手册等资料，便于医护人员后续查阅。</w:t>
      </w:r>
    </w:p>
    <w:p w14:paraId="48FA7EB4">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（2）患者培训：设备配送时现场培训，同时提供视频教程（上传至患者端APP），确保患者能独立、安全操作。</w:t>
      </w:r>
    </w:p>
    <w:p w14:paraId="3293DF84">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黑体" w:hAnsi="黑体" w:eastAsia="黑体" w:cs="黑体"/>
          <w:b w:val="0"/>
          <w:bCs w:val="0"/>
          <w:color w:val="auto"/>
          <w:sz w:val="28"/>
          <w:szCs w:val="28"/>
          <w:lang w:val="en-US" w:eastAsia="zh-CN"/>
        </w:rPr>
      </w:pPr>
      <w:r>
        <w:rPr>
          <w:rFonts w:hint="eastAsia" w:ascii="黑体" w:hAnsi="黑体" w:eastAsia="黑体" w:cs="黑体"/>
          <w:b w:val="0"/>
          <w:bCs w:val="0"/>
          <w:color w:val="auto"/>
          <w:sz w:val="28"/>
          <w:szCs w:val="28"/>
          <w:lang w:val="en-US" w:eastAsia="zh-CN"/>
        </w:rPr>
        <w:t>附件1：</w:t>
      </w:r>
      <w:r>
        <w:rPr>
          <w:rFonts w:hint="eastAsia" w:ascii="黑体" w:hAnsi="黑体" w:eastAsia="黑体" w:cs="黑体"/>
          <w:sz w:val="28"/>
          <w:szCs w:val="28"/>
          <w:lang w:val="en-US" w:eastAsia="zh-CN"/>
        </w:rPr>
        <w:t>居家康复服务项目收费表</w:t>
      </w:r>
    </w:p>
    <w:tbl>
      <w:tblPr>
        <w:tblStyle w:val="5"/>
        <w:tblW w:w="75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578"/>
        <w:gridCol w:w="2502"/>
        <w:gridCol w:w="2291"/>
        <w:gridCol w:w="2154"/>
      </w:tblGrid>
      <w:tr w14:paraId="52DE1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42" w:hRule="atLeast"/>
          <w:tblHeader/>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F8407A3">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序号</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2A0F560">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项目</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824235D">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服务内容</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1BA78D2">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default" w:ascii="宋体" w:eastAsia="宋体"/>
                <w:b w:val="0"/>
                <w:bCs w:val="0"/>
                <w:sz w:val="24"/>
                <w:szCs w:val="24"/>
                <w:lang w:val="en-US" w:eastAsia="zh-CN"/>
              </w:rPr>
            </w:pPr>
            <w:r>
              <w:rPr>
                <w:rFonts w:hint="eastAsia" w:ascii="宋体" w:hAnsi="宋体" w:cs="宋体"/>
                <w:b w:val="0"/>
                <w:bCs w:val="0"/>
                <w:color w:val="000000"/>
                <w:sz w:val="24"/>
                <w:szCs w:val="24"/>
                <w:lang w:val="en-US" w:eastAsia="zh-CN"/>
              </w:rPr>
              <w:t>居家收费（上限价格）</w:t>
            </w:r>
          </w:p>
        </w:tc>
      </w:tr>
      <w:tr w14:paraId="1267A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FC827DF">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1</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09F7138E">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子宫复旧</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025053F1">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val="en-US" w:eastAsia="zh-CN"/>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0F241299">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1031.00</w:t>
            </w:r>
          </w:p>
        </w:tc>
      </w:tr>
      <w:tr w14:paraId="35AB2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1451099">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2</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7D059FC">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术后康复</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1C4ABF9">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3896BD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1031.00</w:t>
            </w:r>
          </w:p>
        </w:tc>
      </w:tr>
      <w:tr w14:paraId="44E60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869E438">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3</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BB1F606">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盆底康复</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2843C9A">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C0D3CA3">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2027.00</w:t>
            </w:r>
          </w:p>
        </w:tc>
      </w:tr>
      <w:tr w14:paraId="2D34E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A45347B">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4</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2321080">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内膜养护</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00686F7">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564353E">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1765.00</w:t>
            </w:r>
          </w:p>
        </w:tc>
      </w:tr>
      <w:tr w14:paraId="2EE68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C55B8D7">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5</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FDBCCD2">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腹直肌分离</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80B09A0">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7ADF1F3">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1653.00</w:t>
            </w:r>
          </w:p>
        </w:tc>
      </w:tr>
      <w:tr w14:paraId="1E073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9888176">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6</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2C5588A7">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产后镇痛/泌乳</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7DC0B6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62E5F55">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1258.00</w:t>
            </w:r>
          </w:p>
        </w:tc>
      </w:tr>
      <w:tr w14:paraId="41E07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F5D1BD2">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7</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4D71CB7">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产褥期康复套餐</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55506A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42天内不限次数</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6F6440E">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2062.00</w:t>
            </w:r>
          </w:p>
        </w:tc>
      </w:tr>
      <w:tr w14:paraId="74F42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A4EBF9A">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8</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42FF52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镇痛</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4D72B2B">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69FDFEAF">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1031.00</w:t>
            </w:r>
          </w:p>
        </w:tc>
      </w:tr>
      <w:tr w14:paraId="3EA29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04D5EB3">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9</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06EC6E9">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痛经</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56A2058A">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C3F4220">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1031.00</w:t>
            </w:r>
          </w:p>
        </w:tc>
      </w:tr>
      <w:tr w14:paraId="35FB1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78"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394351D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10</w:t>
            </w:r>
          </w:p>
        </w:tc>
        <w:tc>
          <w:tcPr>
            <w:tcW w:w="2502"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12F57B04">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阴道干涩</w:t>
            </w:r>
          </w:p>
        </w:tc>
        <w:tc>
          <w:tcPr>
            <w:tcW w:w="2291"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760C5698">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ascii="宋体" w:eastAsia="宋体"/>
                <w:b w:val="0"/>
                <w:bCs w:val="0"/>
                <w:sz w:val="24"/>
                <w:szCs w:val="24"/>
              </w:rPr>
            </w:pPr>
            <w:r>
              <w:rPr>
                <w:rFonts w:hint="eastAsia" w:ascii="宋体" w:hAnsi="宋体" w:eastAsia="宋体" w:cs="宋体"/>
                <w:b w:val="0"/>
                <w:bCs w:val="0"/>
                <w:color w:val="000000"/>
                <w:sz w:val="24"/>
                <w:szCs w:val="24"/>
              </w:rPr>
              <w:t>治疗次数：</w:t>
            </w:r>
            <w:r>
              <w:rPr>
                <w:rFonts w:hint="eastAsia" w:ascii="宋体" w:hAnsi="宋体" w:cs="宋体"/>
                <w:b w:val="0"/>
                <w:bCs w:val="0"/>
                <w:color w:val="000000"/>
                <w:sz w:val="24"/>
                <w:szCs w:val="24"/>
                <w:lang w:val="en-US" w:eastAsia="zh-CN"/>
              </w:rPr>
              <w:t>套餐基数</w:t>
            </w:r>
            <w:r>
              <w:rPr>
                <w:rFonts w:hint="eastAsia" w:ascii="宋体" w:hAnsi="宋体" w:eastAsia="宋体" w:cs="宋体"/>
                <w:b w:val="0"/>
                <w:bCs w:val="0"/>
                <w:color w:val="000000"/>
                <w:sz w:val="24"/>
                <w:szCs w:val="24"/>
              </w:rPr>
              <w:t>10</w:t>
            </w:r>
            <w:r>
              <w:rPr>
                <w:rFonts w:hint="eastAsia" w:ascii="宋体" w:hAnsi="宋体" w:cs="宋体"/>
                <w:b w:val="0"/>
                <w:bCs w:val="0"/>
                <w:color w:val="000000"/>
                <w:sz w:val="24"/>
                <w:szCs w:val="24"/>
                <w:lang w:val="en-US" w:eastAsia="zh-CN"/>
              </w:rPr>
              <w:t>次，另赠</w:t>
            </w:r>
            <w:r>
              <w:rPr>
                <w:rFonts w:hint="eastAsia" w:ascii="宋体" w:hAnsi="宋体" w:eastAsia="宋体" w:cs="宋体"/>
                <w:b w:val="0"/>
                <w:bCs w:val="0"/>
                <w:color w:val="000000"/>
                <w:sz w:val="24"/>
                <w:szCs w:val="24"/>
              </w:rPr>
              <w:t>送4</w:t>
            </w:r>
            <w:r>
              <w:rPr>
                <w:rFonts w:hint="eastAsia" w:ascii="宋体" w:hAnsi="宋体" w:cs="宋体"/>
                <w:b w:val="0"/>
                <w:bCs w:val="0"/>
                <w:color w:val="000000"/>
                <w:sz w:val="24"/>
                <w:szCs w:val="24"/>
                <w:lang w:val="en-US" w:eastAsia="zh-CN"/>
              </w:rPr>
              <w:t>次</w:t>
            </w:r>
          </w:p>
        </w:tc>
        <w:tc>
          <w:tcPr>
            <w:tcW w:w="2154" w:type="dxa"/>
            <w:tcBorders>
              <w:top w:val="single" w:color="000000" w:sz="6" w:space="0"/>
              <w:left w:val="single" w:color="000000" w:sz="6" w:space="0"/>
              <w:bottom w:val="single" w:color="000000" w:sz="6" w:space="0"/>
              <w:right w:val="single" w:color="000000" w:sz="6" w:space="0"/>
            </w:tcBorders>
            <w:shd w:val="clear" w:color="auto" w:fill="auto"/>
            <w:noWrap w:val="0"/>
            <w:tcMar>
              <w:top w:w="12" w:type="dxa"/>
              <w:left w:w="12" w:type="dxa"/>
              <w:bottom w:w="-1" w:type="dxa"/>
              <w:right w:w="12" w:type="dxa"/>
            </w:tcMar>
            <w:vAlign w:val="center"/>
          </w:tcPr>
          <w:p w14:paraId="47B162CB">
            <w:pPr>
              <w:pStyle w:val="4"/>
              <w:keepNext w:val="0"/>
              <w:keepLines w:val="0"/>
              <w:widowControl/>
              <w:suppressLineNumbers w:val="0"/>
              <w:kinsoku/>
              <w:wordWrap/>
              <w:overflowPunct/>
              <w:snapToGrid w:val="0"/>
              <w:spacing w:line="240" w:lineRule="auto"/>
              <w:ind w:left="0" w:leftChars="0" w:right="0" w:rightChars="0" w:firstLine="0" w:firstLineChars="0"/>
              <w:jc w:val="center"/>
              <w:rPr>
                <w:rFonts w:hint="eastAsia" w:ascii="宋体" w:eastAsia="宋体"/>
                <w:b w:val="0"/>
                <w:bCs w:val="0"/>
                <w:sz w:val="24"/>
                <w:szCs w:val="24"/>
                <w:lang w:eastAsia="zh-CN"/>
              </w:rPr>
            </w:pPr>
            <w:r>
              <w:rPr>
                <w:rFonts w:hint="eastAsia" w:ascii="宋体" w:hAnsi="宋体" w:eastAsia="宋体" w:cs="宋体"/>
                <w:b w:val="0"/>
                <w:bCs w:val="0"/>
                <w:color w:val="000000"/>
                <w:sz w:val="24"/>
                <w:szCs w:val="24"/>
              </w:rPr>
              <w:t>2027.00</w:t>
            </w:r>
          </w:p>
        </w:tc>
      </w:tr>
    </w:tbl>
    <w:p w14:paraId="1FC39E46">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宋体" w:hAnsi="宋体" w:cs="宋体"/>
          <w:b/>
          <w:bCs/>
          <w:color w:val="auto"/>
          <w:sz w:val="24"/>
          <w:lang w:val="en-US" w:eastAsia="zh-CN"/>
        </w:rPr>
      </w:pPr>
    </w:p>
    <w:p w14:paraId="09C90BD7"/>
    <w:p w14:paraId="494AB547">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646AA663">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687F7BC5">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2C304C31">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50939B33">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03132986">
      <w:pPr>
        <w:pageBreakBefore w:val="0"/>
        <w:wordWrap/>
        <w:spacing w:before="160" w:after="0"/>
        <w:ind w:left="0" w:right="0"/>
        <w:jc w:val="left"/>
        <w:textAlignment w:val="auto"/>
        <w:rPr>
          <w:rFonts w:hint="eastAsia" w:ascii="黑体" w:hAnsi="黑体" w:eastAsia="黑体" w:cs="黑体"/>
          <w:b w:val="0"/>
          <w:bCs/>
          <w:i w:val="0"/>
          <w:spacing w:val="0"/>
          <w:sz w:val="28"/>
          <w:lang w:val="en-US" w:eastAsia="zh-CN"/>
        </w:rPr>
      </w:pPr>
    </w:p>
    <w:p w14:paraId="23F94E70">
      <w:pPr>
        <w:pageBreakBefore w:val="0"/>
        <w:wordWrap/>
        <w:spacing w:before="160" w:after="0"/>
        <w:ind w:left="0" w:right="0"/>
        <w:jc w:val="left"/>
        <w:textAlignment w:val="auto"/>
        <w:rPr>
          <w:rFonts w:hint="eastAsia" w:ascii="黑体" w:hAnsi="黑体" w:eastAsia="黑体" w:cs="黑体"/>
          <w:b w:val="0"/>
          <w:bCs/>
          <w:sz w:val="28"/>
        </w:rPr>
      </w:pPr>
      <w:r>
        <w:rPr>
          <w:rFonts w:hint="eastAsia" w:ascii="黑体" w:hAnsi="黑体" w:eastAsia="黑体" w:cs="黑体"/>
          <w:b w:val="0"/>
          <w:bCs/>
          <w:i w:val="0"/>
          <w:spacing w:val="0"/>
          <w:sz w:val="28"/>
          <w:lang w:val="en-US" w:eastAsia="zh-CN"/>
        </w:rPr>
        <w:t>附件2：互联网+居家康复</w:t>
      </w:r>
      <w:r>
        <w:rPr>
          <w:rFonts w:hint="eastAsia" w:ascii="黑体" w:hAnsi="黑体" w:eastAsia="黑体" w:cs="黑体"/>
          <w:b w:val="0"/>
          <w:bCs/>
          <w:i w:val="0"/>
          <w:spacing w:val="0"/>
          <w:sz w:val="28"/>
        </w:rPr>
        <w:t>服务</w:t>
      </w:r>
      <w:r>
        <w:rPr>
          <w:rFonts w:hint="eastAsia" w:ascii="黑体" w:hAnsi="黑体" w:eastAsia="黑体" w:cs="黑体"/>
          <w:b w:val="0"/>
          <w:bCs/>
          <w:i w:val="0"/>
          <w:spacing w:val="0"/>
          <w:sz w:val="28"/>
          <w:lang w:val="en-US" w:eastAsia="zh-CN"/>
        </w:rPr>
        <w:t>项目</w:t>
      </w:r>
      <w:r>
        <w:rPr>
          <w:rFonts w:hint="eastAsia" w:ascii="黑体" w:hAnsi="黑体" w:eastAsia="黑体" w:cs="黑体"/>
          <w:b w:val="0"/>
          <w:bCs/>
          <w:i w:val="0"/>
          <w:spacing w:val="0"/>
          <w:sz w:val="28"/>
        </w:rPr>
        <w:t>质量考核评分表</w:t>
      </w:r>
    </w:p>
    <w:p w14:paraId="271B1297">
      <w:pPr>
        <w:pageBreakBefore w:val="0"/>
        <w:wordWrap/>
        <w:spacing w:before="160" w:after="0"/>
        <w:ind w:left="0" w:right="0"/>
        <w:jc w:val="left"/>
        <w:textAlignment w:val="auto"/>
        <w:rPr>
          <w:rFonts w:hint="eastAsia" w:ascii="黑体" w:hAnsi="黑体" w:eastAsia="黑体" w:cs="黑体"/>
          <w:b w:val="0"/>
          <w:bCs/>
          <w:sz w:val="24"/>
        </w:rPr>
      </w:pPr>
      <w:r>
        <w:rPr>
          <w:rFonts w:hint="eastAsia" w:ascii="黑体" w:hAnsi="黑体" w:eastAsia="黑体" w:cs="黑体"/>
          <w:b w:val="0"/>
          <w:bCs/>
          <w:i w:val="0"/>
          <w:spacing w:val="0"/>
          <w:sz w:val="24"/>
        </w:rPr>
        <w:t>考核</w:t>
      </w:r>
      <w:r>
        <w:rPr>
          <w:rFonts w:hint="eastAsia" w:ascii="黑体" w:hAnsi="黑体" w:eastAsia="黑体" w:cs="黑体"/>
          <w:b w:val="0"/>
          <w:bCs/>
          <w:i w:val="0"/>
          <w:spacing w:val="0"/>
          <w:sz w:val="24"/>
          <w:lang w:val="en-US" w:eastAsia="zh-CN"/>
        </w:rPr>
        <w:t>人员</w:t>
      </w:r>
      <w:r>
        <w:rPr>
          <w:rFonts w:hint="eastAsia" w:ascii="黑体" w:hAnsi="黑体" w:eastAsia="黑体" w:cs="黑体"/>
          <w:b w:val="0"/>
          <w:bCs/>
          <w:i w:val="0"/>
          <w:spacing w:val="0"/>
          <w:sz w:val="24"/>
        </w:rPr>
        <w:t>：</w:t>
      </w:r>
    </w:p>
    <w:p w14:paraId="00BBA004">
      <w:pPr>
        <w:pageBreakBefore w:val="0"/>
        <w:wordWrap/>
        <w:spacing w:before="160" w:after="0"/>
        <w:ind w:left="0" w:right="0"/>
        <w:jc w:val="left"/>
        <w:textAlignment w:val="auto"/>
        <w:rPr>
          <w:rFonts w:hint="eastAsia" w:ascii="黑体" w:hAnsi="黑体" w:eastAsia="黑体" w:cs="黑体"/>
          <w:b w:val="0"/>
          <w:bCs/>
          <w:i w:val="0"/>
          <w:spacing w:val="0"/>
          <w:sz w:val="24"/>
        </w:rPr>
      </w:pPr>
      <w:r>
        <w:rPr>
          <w:rFonts w:hint="eastAsia" w:ascii="黑体" w:hAnsi="黑体" w:eastAsia="黑体" w:cs="黑体"/>
          <w:b w:val="0"/>
          <w:bCs/>
          <w:i w:val="0"/>
          <w:spacing w:val="0"/>
          <w:sz w:val="24"/>
        </w:rPr>
        <w:t>考核日期：</w:t>
      </w:r>
    </w:p>
    <w:p w14:paraId="134D0E89">
      <w:pPr>
        <w:pageBreakBefore w:val="0"/>
        <w:wordWrap/>
        <w:spacing w:before="160" w:after="0"/>
        <w:ind w:left="0" w:right="0"/>
        <w:jc w:val="center"/>
        <w:textAlignment w:val="auto"/>
        <w:rPr>
          <w:rFonts w:hint="eastAsia" w:ascii="黑体" w:hAnsi="黑体" w:eastAsia="黑体" w:cs="黑体"/>
          <w:b w:val="0"/>
          <w:bCs/>
          <w:sz w:val="24"/>
        </w:rPr>
      </w:pPr>
      <w:r>
        <w:rPr>
          <w:rFonts w:hint="eastAsia" w:ascii="黑体" w:hAnsi="黑体" w:eastAsia="黑体" w:cs="黑体"/>
          <w:b w:val="0"/>
          <w:bCs/>
          <w:i w:val="0"/>
          <w:spacing w:val="0"/>
          <w:sz w:val="24"/>
        </w:rPr>
        <w:t>考核评分表</w:t>
      </w:r>
    </w:p>
    <w:p w14:paraId="741BA9B1">
      <w:pPr>
        <w:pageBreakBefore w:val="0"/>
        <w:wordWrap/>
        <w:spacing w:before="160" w:after="0"/>
        <w:ind w:left="0" w:right="0"/>
        <w:jc w:val="left"/>
        <w:textAlignment w:val="auto"/>
        <w:rPr>
          <w:rFonts w:hint="eastAsia" w:ascii="仿宋" w:hAnsi="仿宋" w:eastAsia="仿宋" w:cs="仿宋"/>
          <w:sz w:val="24"/>
        </w:rPr>
      </w:pPr>
      <w:r>
        <w:rPr>
          <w:rFonts w:hint="eastAsia" w:ascii="仿宋" w:hAnsi="仿宋" w:eastAsia="仿宋" w:cs="仿宋"/>
          <w:b w:val="0"/>
          <w:bCs/>
          <w:i w:val="0"/>
          <w:spacing w:val="0"/>
          <w:sz w:val="24"/>
        </w:rPr>
        <w:t>说明：</w:t>
      </w:r>
      <w:r>
        <w:rPr>
          <w:rFonts w:hint="eastAsia" w:ascii="仿宋" w:hAnsi="仿宋" w:eastAsia="仿宋" w:cs="仿宋"/>
          <w:b w:val="0"/>
          <w:i w:val="0"/>
          <w:spacing w:val="0"/>
          <w:sz w:val="24"/>
        </w:rPr>
        <w:t>请根据实际表现，在“实得分”栏填写具体分值，并在“扣分依据”栏简要记录导致扣分的具体事件或原因（如：无扣分则填“无”）。</w:t>
      </w:r>
    </w:p>
    <w:tbl>
      <w:tblPr>
        <w:tblStyle w:val="5"/>
        <w:tblW w:w="833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325"/>
        <w:gridCol w:w="2236"/>
        <w:gridCol w:w="3797"/>
        <w:gridCol w:w="709"/>
        <w:gridCol w:w="1270"/>
      </w:tblGrid>
      <w:tr w14:paraId="17E755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tblHeader/>
          <w:jc w:val="center"/>
        </w:trPr>
        <w:tc>
          <w:tcPr>
            <w:tcW w:w="0" w:type="auto"/>
            <w:noWrap w:val="0"/>
            <w:tcMar>
              <w:top w:w="-1" w:type="dxa"/>
              <w:left w:w="-1" w:type="dxa"/>
              <w:bottom w:w="-1" w:type="dxa"/>
              <w:right w:w="-1" w:type="dxa"/>
            </w:tcMar>
            <w:vAlign w:val="center"/>
          </w:tcPr>
          <w:p w14:paraId="6A53BE35">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序号</w:t>
            </w:r>
          </w:p>
        </w:tc>
        <w:tc>
          <w:tcPr>
            <w:tcW w:w="0" w:type="auto"/>
            <w:noWrap w:val="0"/>
            <w:tcMar>
              <w:top w:w="-1" w:type="dxa"/>
              <w:left w:w="-1" w:type="dxa"/>
              <w:bottom w:w="-1" w:type="dxa"/>
              <w:right w:w="-1" w:type="dxa"/>
            </w:tcMar>
            <w:vAlign w:val="center"/>
          </w:tcPr>
          <w:p w14:paraId="013A9788">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考核指标</w:t>
            </w:r>
          </w:p>
        </w:tc>
        <w:tc>
          <w:tcPr>
            <w:tcW w:w="3797" w:type="dxa"/>
            <w:noWrap w:val="0"/>
            <w:tcMar>
              <w:top w:w="-1" w:type="dxa"/>
              <w:left w:w="-1" w:type="dxa"/>
              <w:bottom w:w="-1" w:type="dxa"/>
              <w:right w:w="-1" w:type="dxa"/>
            </w:tcMar>
            <w:vAlign w:val="center"/>
          </w:tcPr>
          <w:p w14:paraId="05EC2B39">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评分标准</w:t>
            </w:r>
            <w:r>
              <w:rPr>
                <w:rFonts w:hint="eastAsia" w:ascii="仿宋" w:hAnsi="仿宋" w:eastAsia="仿宋" w:cs="仿宋"/>
                <w:b/>
                <w:i w:val="0"/>
                <w:spacing w:val="0"/>
                <w:sz w:val="24"/>
                <w:lang w:eastAsia="zh-CN"/>
              </w:rPr>
              <w:t>（</w:t>
            </w:r>
            <w:r>
              <w:rPr>
                <w:rFonts w:hint="eastAsia" w:ascii="仿宋" w:hAnsi="仿宋" w:eastAsia="仿宋" w:cs="仿宋"/>
                <w:b/>
                <w:i w:val="0"/>
                <w:spacing w:val="0"/>
                <w:sz w:val="24"/>
              </w:rPr>
              <w:t>10分制</w:t>
            </w:r>
            <w:r>
              <w:rPr>
                <w:rFonts w:hint="eastAsia" w:ascii="仿宋" w:hAnsi="仿宋" w:eastAsia="仿宋" w:cs="仿宋"/>
                <w:b/>
                <w:i w:val="0"/>
                <w:spacing w:val="0"/>
                <w:sz w:val="24"/>
                <w:lang w:eastAsia="zh-CN"/>
              </w:rPr>
              <w:t>）</w:t>
            </w:r>
          </w:p>
        </w:tc>
        <w:tc>
          <w:tcPr>
            <w:tcW w:w="709" w:type="dxa"/>
            <w:noWrap w:val="0"/>
            <w:tcMar>
              <w:top w:w="-1" w:type="dxa"/>
              <w:left w:w="-1" w:type="dxa"/>
              <w:bottom w:w="-1" w:type="dxa"/>
              <w:right w:w="-1" w:type="dxa"/>
            </w:tcMar>
            <w:vAlign w:val="center"/>
          </w:tcPr>
          <w:p w14:paraId="2809559F">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实得分</w:t>
            </w:r>
          </w:p>
        </w:tc>
        <w:tc>
          <w:tcPr>
            <w:tcW w:w="1270" w:type="dxa"/>
            <w:noWrap w:val="0"/>
            <w:tcMar>
              <w:top w:w="-1" w:type="dxa"/>
              <w:left w:w="-1" w:type="dxa"/>
              <w:bottom w:w="-1" w:type="dxa"/>
              <w:right w:w="-1" w:type="dxa"/>
            </w:tcMar>
            <w:vAlign w:val="center"/>
          </w:tcPr>
          <w:p w14:paraId="3184C562">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扣分依据</w:t>
            </w:r>
          </w:p>
        </w:tc>
      </w:tr>
      <w:tr w14:paraId="667A19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474D7907">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1</w:t>
            </w:r>
          </w:p>
        </w:tc>
        <w:tc>
          <w:tcPr>
            <w:tcW w:w="0" w:type="auto"/>
            <w:noWrap w:val="0"/>
            <w:tcMar>
              <w:top w:w="-1" w:type="dxa"/>
              <w:left w:w="-1" w:type="dxa"/>
              <w:bottom w:w="-1" w:type="dxa"/>
              <w:right w:w="-1" w:type="dxa"/>
            </w:tcMar>
            <w:vAlign w:val="center"/>
          </w:tcPr>
          <w:p w14:paraId="449B1CF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严格遵守医院规章制度，配合科室工作</w:t>
            </w:r>
          </w:p>
        </w:tc>
        <w:tc>
          <w:tcPr>
            <w:tcW w:w="3797" w:type="dxa"/>
            <w:noWrap w:val="0"/>
            <w:tcMar>
              <w:top w:w="-1" w:type="dxa"/>
              <w:left w:w="-1" w:type="dxa"/>
              <w:bottom w:w="-1" w:type="dxa"/>
              <w:right w:w="-1" w:type="dxa"/>
            </w:tcMar>
            <w:vAlign w:val="center"/>
          </w:tcPr>
          <w:p w14:paraId="278FA10D">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10分：完全遵守，积极配合</w:t>
            </w:r>
          </w:p>
          <w:p w14:paraId="34CC28BD">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8分：偶有疏忽，配合度一般</w:t>
            </w:r>
          </w:p>
          <w:p w14:paraId="61E2B7E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分：违规违纪，拒不配合</w:t>
            </w:r>
          </w:p>
        </w:tc>
        <w:tc>
          <w:tcPr>
            <w:tcW w:w="709" w:type="dxa"/>
            <w:noWrap w:val="0"/>
            <w:tcMar>
              <w:top w:w="-1" w:type="dxa"/>
              <w:left w:w="-1" w:type="dxa"/>
              <w:bottom w:w="-1" w:type="dxa"/>
              <w:right w:w="-1" w:type="dxa"/>
            </w:tcMar>
            <w:vAlign w:val="center"/>
          </w:tcPr>
          <w:p w14:paraId="44CBAE17">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62634488">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039066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5AD6EBB3">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2</w:t>
            </w:r>
          </w:p>
        </w:tc>
        <w:tc>
          <w:tcPr>
            <w:tcW w:w="0" w:type="auto"/>
            <w:noWrap w:val="0"/>
            <w:tcMar>
              <w:top w:w="-1" w:type="dxa"/>
              <w:left w:w="-1" w:type="dxa"/>
              <w:bottom w:w="-1" w:type="dxa"/>
              <w:right w:w="-1" w:type="dxa"/>
            </w:tcMar>
            <w:vAlign w:val="center"/>
          </w:tcPr>
          <w:p w14:paraId="47113EC4">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设备质量稳定，故障响应及维修及时</w:t>
            </w:r>
          </w:p>
        </w:tc>
        <w:tc>
          <w:tcPr>
            <w:tcW w:w="3797" w:type="dxa"/>
            <w:noWrap w:val="0"/>
            <w:tcMar>
              <w:top w:w="-1" w:type="dxa"/>
              <w:left w:w="-1" w:type="dxa"/>
              <w:bottom w:w="-1" w:type="dxa"/>
              <w:right w:w="-1" w:type="dxa"/>
            </w:tcMar>
            <w:vAlign w:val="center"/>
          </w:tcPr>
          <w:p w14:paraId="74353B6D">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10分：设备完好，响应极快</w:t>
            </w:r>
          </w:p>
          <w:p w14:paraId="4623D48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8分：偶有故障，维修较及时</w:t>
            </w:r>
          </w:p>
          <w:p w14:paraId="1A0882B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分：故障频发，维修拖延</w:t>
            </w:r>
          </w:p>
        </w:tc>
        <w:tc>
          <w:tcPr>
            <w:tcW w:w="709" w:type="dxa"/>
            <w:noWrap w:val="0"/>
            <w:tcMar>
              <w:top w:w="-1" w:type="dxa"/>
              <w:left w:w="-1" w:type="dxa"/>
              <w:bottom w:w="-1" w:type="dxa"/>
              <w:right w:w="-1" w:type="dxa"/>
            </w:tcMar>
            <w:vAlign w:val="center"/>
          </w:tcPr>
          <w:p w14:paraId="78C379F6">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7DDD408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468D16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3D230892">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3</w:t>
            </w:r>
          </w:p>
        </w:tc>
        <w:tc>
          <w:tcPr>
            <w:tcW w:w="0" w:type="auto"/>
            <w:noWrap w:val="0"/>
            <w:tcMar>
              <w:top w:w="-1" w:type="dxa"/>
              <w:left w:w="-1" w:type="dxa"/>
              <w:bottom w:w="-1" w:type="dxa"/>
              <w:right w:w="-1" w:type="dxa"/>
            </w:tcMar>
            <w:vAlign w:val="center"/>
          </w:tcPr>
          <w:p w14:paraId="21E8716E">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供应商设备</w:t>
            </w:r>
            <w:r>
              <w:rPr>
                <w:rFonts w:hint="eastAsia" w:ascii="仿宋" w:hAnsi="仿宋" w:eastAsia="仿宋" w:cs="仿宋"/>
                <w:b w:val="0"/>
                <w:bCs/>
                <w:i w:val="0"/>
                <w:spacing w:val="0"/>
                <w:sz w:val="24"/>
              </w:rPr>
              <w:t>患者端APP、医生端系统运行流畅</w:t>
            </w:r>
          </w:p>
        </w:tc>
        <w:tc>
          <w:tcPr>
            <w:tcW w:w="3797" w:type="dxa"/>
            <w:noWrap w:val="0"/>
            <w:tcMar>
              <w:top w:w="-1" w:type="dxa"/>
              <w:left w:w="-1" w:type="dxa"/>
              <w:bottom w:w="-1" w:type="dxa"/>
              <w:right w:w="-1" w:type="dxa"/>
            </w:tcMar>
            <w:vAlign w:val="center"/>
          </w:tcPr>
          <w:p w14:paraId="13F44644">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10分：系统流畅，无卡顿</w:t>
            </w:r>
          </w:p>
          <w:p w14:paraId="472C9B5E">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8分：偶尔卡顿，不影响使用</w:t>
            </w:r>
          </w:p>
          <w:p w14:paraId="079589E6">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分：经常崩溃，无法使用</w:t>
            </w:r>
          </w:p>
        </w:tc>
        <w:tc>
          <w:tcPr>
            <w:tcW w:w="709" w:type="dxa"/>
            <w:noWrap w:val="0"/>
            <w:tcMar>
              <w:top w:w="-1" w:type="dxa"/>
              <w:left w:w="-1" w:type="dxa"/>
              <w:bottom w:w="-1" w:type="dxa"/>
              <w:right w:w="-1" w:type="dxa"/>
            </w:tcMar>
            <w:vAlign w:val="center"/>
          </w:tcPr>
          <w:p w14:paraId="34293455">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378E33F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0AEA21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6216EA05">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4</w:t>
            </w:r>
          </w:p>
        </w:tc>
        <w:tc>
          <w:tcPr>
            <w:tcW w:w="0" w:type="auto"/>
            <w:noWrap w:val="0"/>
            <w:tcMar>
              <w:top w:w="-1" w:type="dxa"/>
              <w:left w:w="-1" w:type="dxa"/>
              <w:bottom w:w="-1" w:type="dxa"/>
              <w:right w:w="-1" w:type="dxa"/>
            </w:tcMar>
            <w:vAlign w:val="center"/>
          </w:tcPr>
          <w:p w14:paraId="6BA26E4E">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驻场人员服务专业，能有效解决医护及患者问题</w:t>
            </w:r>
          </w:p>
        </w:tc>
        <w:tc>
          <w:tcPr>
            <w:tcW w:w="3797" w:type="dxa"/>
            <w:noWrap w:val="0"/>
            <w:tcMar>
              <w:top w:w="-1" w:type="dxa"/>
              <w:left w:w="-1" w:type="dxa"/>
              <w:bottom w:w="-1" w:type="dxa"/>
              <w:right w:w="-1" w:type="dxa"/>
            </w:tcMar>
            <w:vAlign w:val="center"/>
          </w:tcPr>
          <w:p w14:paraId="7EC7E2E3">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10分：技能娴熟，解决问题高效</w:t>
            </w:r>
          </w:p>
          <w:p w14:paraId="40CC5F6F">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8分：基本胜任，需指导</w:t>
            </w:r>
          </w:p>
          <w:p w14:paraId="0FD37FA4">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分：业务生疏，无法解决问题</w:t>
            </w:r>
          </w:p>
        </w:tc>
        <w:tc>
          <w:tcPr>
            <w:tcW w:w="709" w:type="dxa"/>
            <w:noWrap w:val="0"/>
            <w:tcMar>
              <w:top w:w="-1" w:type="dxa"/>
              <w:left w:w="-1" w:type="dxa"/>
              <w:bottom w:w="-1" w:type="dxa"/>
              <w:right w:w="-1" w:type="dxa"/>
            </w:tcMar>
            <w:vAlign w:val="center"/>
          </w:tcPr>
          <w:p w14:paraId="04A11B23">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314FADFB">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1617C3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1838AFF1">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5</w:t>
            </w:r>
          </w:p>
        </w:tc>
        <w:tc>
          <w:tcPr>
            <w:tcW w:w="0" w:type="auto"/>
            <w:noWrap w:val="0"/>
            <w:tcMar>
              <w:top w:w="-1" w:type="dxa"/>
              <w:left w:w="-1" w:type="dxa"/>
              <w:bottom w:w="-1" w:type="dxa"/>
              <w:right w:w="-1" w:type="dxa"/>
            </w:tcMar>
            <w:vAlign w:val="center"/>
          </w:tcPr>
          <w:p w14:paraId="00449F8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lang w:val="en-US" w:eastAsia="zh-CN"/>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售后客服响应及时，患者投诉处理满意度</w:t>
            </w:r>
            <w:r>
              <w:rPr>
                <w:rFonts w:hint="eastAsia" w:ascii="仿宋" w:hAnsi="仿宋" w:eastAsia="仿宋" w:cs="仿宋"/>
                <w:b w:val="0"/>
                <w:bCs/>
                <w:i w:val="0"/>
                <w:spacing w:val="0"/>
                <w:sz w:val="24"/>
                <w:lang w:val="en-US" w:eastAsia="zh-CN"/>
              </w:rPr>
              <w:t>高</w:t>
            </w:r>
          </w:p>
        </w:tc>
        <w:tc>
          <w:tcPr>
            <w:tcW w:w="3797" w:type="dxa"/>
            <w:noWrap w:val="0"/>
            <w:tcMar>
              <w:top w:w="-1" w:type="dxa"/>
              <w:left w:w="-1" w:type="dxa"/>
              <w:bottom w:w="-1" w:type="dxa"/>
              <w:right w:w="-1" w:type="dxa"/>
            </w:tcMar>
            <w:vAlign w:val="center"/>
          </w:tcPr>
          <w:p w14:paraId="26EB267F">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10分：响应迅速，处理圆满</w:t>
            </w:r>
          </w:p>
          <w:p w14:paraId="1E7F299B">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8分：响应一般，基本解决</w:t>
            </w:r>
          </w:p>
          <w:p w14:paraId="7AEE8DB7">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分：推诿扯皮，投诉未决</w:t>
            </w:r>
          </w:p>
        </w:tc>
        <w:tc>
          <w:tcPr>
            <w:tcW w:w="709" w:type="dxa"/>
            <w:noWrap w:val="0"/>
            <w:tcMar>
              <w:top w:w="-1" w:type="dxa"/>
              <w:left w:w="-1" w:type="dxa"/>
              <w:bottom w:w="-1" w:type="dxa"/>
              <w:right w:w="-1" w:type="dxa"/>
            </w:tcMar>
            <w:vAlign w:val="center"/>
          </w:tcPr>
          <w:p w14:paraId="42B4D5EB">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4FC77F79">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73BC3B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2704FA3E">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6</w:t>
            </w:r>
          </w:p>
        </w:tc>
        <w:tc>
          <w:tcPr>
            <w:tcW w:w="0" w:type="auto"/>
            <w:noWrap w:val="0"/>
            <w:tcMar>
              <w:top w:w="-1" w:type="dxa"/>
              <w:left w:w="-1" w:type="dxa"/>
              <w:bottom w:w="-1" w:type="dxa"/>
              <w:right w:w="-1" w:type="dxa"/>
            </w:tcMar>
            <w:vAlign w:val="center"/>
          </w:tcPr>
          <w:p w14:paraId="32E89F94">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val="en-US" w:eastAsia="zh-CN"/>
              </w:rPr>
              <w:t>供应商</w:t>
            </w:r>
            <w:r>
              <w:rPr>
                <w:rFonts w:hint="eastAsia" w:ascii="仿宋" w:hAnsi="仿宋" w:eastAsia="仿宋" w:cs="仿宋"/>
                <w:b w:val="0"/>
                <w:bCs/>
                <w:i w:val="0"/>
                <w:spacing w:val="0"/>
                <w:sz w:val="24"/>
              </w:rPr>
              <w:t>康复数据统计准确，报告提交及时</w:t>
            </w:r>
          </w:p>
        </w:tc>
        <w:tc>
          <w:tcPr>
            <w:tcW w:w="3797" w:type="dxa"/>
            <w:noWrap w:val="0"/>
            <w:tcMar>
              <w:top w:w="-1" w:type="dxa"/>
              <w:left w:w="-1" w:type="dxa"/>
              <w:bottom w:w="-1" w:type="dxa"/>
              <w:right w:w="-1" w:type="dxa"/>
            </w:tcMar>
            <w:vAlign w:val="center"/>
          </w:tcPr>
          <w:p w14:paraId="1183206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10分：数据精准，按时提交</w:t>
            </w:r>
          </w:p>
          <w:p w14:paraId="0EDCF7B5">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8分：偶有误差，迟交</w:t>
            </w:r>
          </w:p>
          <w:p w14:paraId="74B2550C">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分：数据错误多，严重迟交</w:t>
            </w:r>
          </w:p>
        </w:tc>
        <w:tc>
          <w:tcPr>
            <w:tcW w:w="709" w:type="dxa"/>
            <w:noWrap w:val="0"/>
            <w:tcMar>
              <w:top w:w="-1" w:type="dxa"/>
              <w:left w:w="-1" w:type="dxa"/>
              <w:bottom w:w="-1" w:type="dxa"/>
              <w:right w:w="-1" w:type="dxa"/>
            </w:tcMar>
            <w:vAlign w:val="center"/>
          </w:tcPr>
          <w:p w14:paraId="1436441C">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5C162C0F">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1CFD3E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29A50CF5">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7</w:t>
            </w:r>
          </w:p>
        </w:tc>
        <w:tc>
          <w:tcPr>
            <w:tcW w:w="0" w:type="auto"/>
            <w:noWrap w:val="0"/>
            <w:tcMar>
              <w:top w:w="-1" w:type="dxa"/>
              <w:left w:w="-1" w:type="dxa"/>
              <w:bottom w:w="-1" w:type="dxa"/>
              <w:right w:w="-1" w:type="dxa"/>
            </w:tcMar>
            <w:vAlign w:val="center"/>
          </w:tcPr>
          <w:p w14:paraId="375C7F42">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rPr>
              <w:t>患者治疗按医嘱完成疗程</w:t>
            </w:r>
          </w:p>
        </w:tc>
        <w:tc>
          <w:tcPr>
            <w:tcW w:w="3797" w:type="dxa"/>
            <w:noWrap w:val="0"/>
            <w:tcMar>
              <w:top w:w="-1" w:type="dxa"/>
              <w:left w:w="-1" w:type="dxa"/>
              <w:bottom w:w="-1" w:type="dxa"/>
              <w:right w:w="-1" w:type="dxa"/>
            </w:tcMar>
            <w:vAlign w:val="center"/>
          </w:tcPr>
          <w:p w14:paraId="67A5FBDE">
            <w:pPr>
              <w:pageBreakBefore w:val="0"/>
              <w:wordWrap/>
              <w:snapToGrid w:val="0"/>
              <w:spacing w:before="0" w:after="0"/>
              <w:ind w:left="0" w:leftChars="0" w:right="0" w:rightChars="0" w:firstLine="0" w:firstLineChars="0"/>
              <w:jc w:val="center"/>
              <w:textAlignment w:val="auto"/>
              <w:rPr>
                <w:rFonts w:hint="default" w:ascii="仿宋" w:hAnsi="仿宋" w:eastAsia="仿宋" w:cs="仿宋"/>
                <w:b w:val="0"/>
                <w:i w:val="0"/>
                <w:spacing w:val="0"/>
                <w:sz w:val="24"/>
                <w:lang w:val="en-US" w:eastAsia="zh-CN"/>
              </w:rPr>
            </w:pPr>
            <w:r>
              <w:rPr>
                <w:rFonts w:hint="eastAsia" w:ascii="仿宋" w:hAnsi="仿宋" w:eastAsia="仿宋" w:cs="仿宋"/>
                <w:b w:val="0"/>
                <w:i w:val="0"/>
                <w:spacing w:val="0"/>
                <w:sz w:val="24"/>
              </w:rPr>
              <w:t>10分：</w:t>
            </w:r>
            <w:r>
              <w:rPr>
                <w:rFonts w:hint="eastAsia" w:ascii="仿宋" w:hAnsi="仿宋" w:eastAsia="仿宋" w:cs="仿宋"/>
                <w:b w:val="0"/>
                <w:i w:val="0"/>
                <w:spacing w:val="0"/>
                <w:sz w:val="24"/>
                <w:lang w:val="en-US" w:eastAsia="zh-CN"/>
              </w:rPr>
              <w:t>套餐治疗疗程内准时按医嘱完成治疗（从开单开始2个月内完成率100%）</w:t>
            </w:r>
          </w:p>
          <w:p w14:paraId="336682D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lang w:val="en-US" w:eastAsia="zh-CN"/>
              </w:rPr>
            </w:pPr>
            <w:r>
              <w:rPr>
                <w:rFonts w:hint="eastAsia" w:ascii="仿宋" w:hAnsi="仿宋" w:eastAsia="仿宋" w:cs="仿宋"/>
                <w:b w:val="0"/>
                <w:i w:val="0"/>
                <w:spacing w:val="0"/>
                <w:sz w:val="24"/>
              </w:rPr>
              <w:t>8分：</w:t>
            </w:r>
            <w:r>
              <w:rPr>
                <w:rFonts w:hint="eastAsia" w:ascii="仿宋" w:hAnsi="仿宋" w:eastAsia="仿宋" w:cs="仿宋"/>
                <w:b w:val="0"/>
                <w:i w:val="0"/>
                <w:spacing w:val="0"/>
                <w:sz w:val="24"/>
                <w:lang w:val="en-US" w:eastAsia="zh-CN"/>
              </w:rPr>
              <w:t>套餐治疗疗程内治疗完成率</w:t>
            </w:r>
            <w:r>
              <w:rPr>
                <w:rFonts w:hint="eastAsia" w:ascii="仿宋" w:hAnsi="仿宋" w:eastAsia="仿宋" w:cs="仿宋"/>
                <w:b w:val="0"/>
                <w:i w:val="0"/>
                <w:spacing w:val="0"/>
                <w:sz w:val="24"/>
              </w:rPr>
              <w:t>一般</w:t>
            </w:r>
            <w:r>
              <w:rPr>
                <w:rFonts w:hint="eastAsia" w:ascii="仿宋" w:hAnsi="仿宋" w:eastAsia="仿宋" w:cs="仿宋"/>
                <w:b w:val="0"/>
                <w:i w:val="0"/>
                <w:spacing w:val="0"/>
                <w:sz w:val="24"/>
                <w:lang w:eastAsia="zh-CN"/>
              </w:rPr>
              <w:t>（</w:t>
            </w:r>
            <w:r>
              <w:rPr>
                <w:rFonts w:hint="eastAsia" w:ascii="仿宋" w:hAnsi="仿宋" w:eastAsia="仿宋" w:cs="仿宋"/>
                <w:b w:val="0"/>
                <w:i w:val="0"/>
                <w:spacing w:val="0"/>
                <w:sz w:val="24"/>
                <w:lang w:val="en-US" w:eastAsia="zh-CN"/>
              </w:rPr>
              <w:t>从开单开始2个月内完成率80%及以上</w:t>
            </w:r>
            <w:r>
              <w:rPr>
                <w:rFonts w:hint="eastAsia" w:ascii="仿宋" w:hAnsi="仿宋" w:eastAsia="仿宋" w:cs="仿宋"/>
                <w:b w:val="0"/>
                <w:i w:val="0"/>
                <w:spacing w:val="0"/>
                <w:sz w:val="24"/>
                <w:lang w:eastAsia="zh-CN"/>
              </w:rPr>
              <w:t>）</w:t>
            </w:r>
          </w:p>
          <w:p w14:paraId="7B12D476">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分以下：</w:t>
            </w:r>
            <w:r>
              <w:rPr>
                <w:rFonts w:hint="eastAsia" w:ascii="仿宋" w:hAnsi="仿宋" w:eastAsia="仿宋" w:cs="仿宋"/>
                <w:b w:val="0"/>
                <w:i w:val="0"/>
                <w:spacing w:val="0"/>
                <w:sz w:val="24"/>
                <w:lang w:val="en-US" w:eastAsia="zh-CN"/>
              </w:rPr>
              <w:t>套餐治疗疗程内治疗完成率</w:t>
            </w:r>
            <w:r>
              <w:rPr>
                <w:rFonts w:hint="eastAsia" w:ascii="仿宋" w:hAnsi="仿宋" w:eastAsia="仿宋" w:cs="仿宋"/>
                <w:b w:val="0"/>
                <w:i w:val="0"/>
                <w:spacing w:val="0"/>
                <w:sz w:val="24"/>
              </w:rPr>
              <w:t>低</w:t>
            </w:r>
            <w:r>
              <w:rPr>
                <w:rFonts w:hint="eastAsia" w:ascii="仿宋" w:hAnsi="仿宋" w:eastAsia="仿宋" w:cs="仿宋"/>
                <w:b w:val="0"/>
                <w:i w:val="0"/>
                <w:spacing w:val="0"/>
                <w:sz w:val="24"/>
                <w:lang w:eastAsia="zh-CN"/>
              </w:rPr>
              <w:t>（</w:t>
            </w:r>
            <w:r>
              <w:rPr>
                <w:rFonts w:hint="eastAsia" w:ascii="仿宋" w:hAnsi="仿宋" w:eastAsia="仿宋" w:cs="仿宋"/>
                <w:b w:val="0"/>
                <w:i w:val="0"/>
                <w:spacing w:val="0"/>
                <w:sz w:val="24"/>
                <w:lang w:val="en-US" w:eastAsia="zh-CN"/>
              </w:rPr>
              <w:t>从开单开始2个月内完成率80%及以下</w:t>
            </w:r>
            <w:r>
              <w:rPr>
                <w:rFonts w:hint="eastAsia" w:ascii="仿宋" w:hAnsi="仿宋" w:eastAsia="仿宋" w:cs="仿宋"/>
                <w:b w:val="0"/>
                <w:i w:val="0"/>
                <w:spacing w:val="0"/>
                <w:sz w:val="24"/>
                <w:lang w:eastAsia="zh-CN"/>
              </w:rPr>
              <w:t>）</w:t>
            </w:r>
            <w:r>
              <w:rPr>
                <w:rFonts w:hint="eastAsia" w:ascii="仿宋" w:hAnsi="仿宋" w:eastAsia="仿宋" w:cs="仿宋"/>
                <w:b w:val="0"/>
                <w:i w:val="0"/>
                <w:spacing w:val="0"/>
                <w:sz w:val="24"/>
              </w:rPr>
              <w:t>，管理混乱</w:t>
            </w:r>
          </w:p>
        </w:tc>
        <w:tc>
          <w:tcPr>
            <w:tcW w:w="709" w:type="dxa"/>
            <w:noWrap w:val="0"/>
            <w:tcMar>
              <w:top w:w="-1" w:type="dxa"/>
              <w:left w:w="-1" w:type="dxa"/>
              <w:bottom w:w="-1" w:type="dxa"/>
              <w:right w:w="-1" w:type="dxa"/>
            </w:tcMar>
            <w:vAlign w:val="center"/>
          </w:tcPr>
          <w:p w14:paraId="19EEA881">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01A203A0">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531B8D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0FCEF137">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8</w:t>
            </w:r>
          </w:p>
        </w:tc>
        <w:tc>
          <w:tcPr>
            <w:tcW w:w="0" w:type="auto"/>
            <w:noWrap w:val="0"/>
            <w:tcMar>
              <w:top w:w="-1" w:type="dxa"/>
              <w:left w:w="-1" w:type="dxa"/>
              <w:bottom w:w="-1" w:type="dxa"/>
              <w:right w:w="-1" w:type="dxa"/>
            </w:tcMar>
            <w:vAlign w:val="center"/>
          </w:tcPr>
          <w:p w14:paraId="008863FC">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rPr>
              <w:t>数据安全与对接数据对接稳定，无信息泄露事件</w:t>
            </w:r>
          </w:p>
        </w:tc>
        <w:tc>
          <w:tcPr>
            <w:tcW w:w="3797" w:type="dxa"/>
            <w:noWrap w:val="0"/>
            <w:tcMar>
              <w:top w:w="-1" w:type="dxa"/>
              <w:left w:w="-1" w:type="dxa"/>
              <w:bottom w:w="-1" w:type="dxa"/>
              <w:right w:w="-1" w:type="dxa"/>
            </w:tcMar>
            <w:vAlign w:val="center"/>
          </w:tcPr>
          <w:p w14:paraId="646AF7A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10分：对接稳定，绝对安全</w:t>
            </w:r>
          </w:p>
          <w:p w14:paraId="06D8F99E">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8分：偶有中断，无泄露</w:t>
            </w:r>
          </w:p>
          <w:p w14:paraId="00B95312">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分：数据丢失或泄露</w:t>
            </w:r>
          </w:p>
        </w:tc>
        <w:tc>
          <w:tcPr>
            <w:tcW w:w="709" w:type="dxa"/>
            <w:noWrap w:val="0"/>
            <w:tcMar>
              <w:top w:w="-1" w:type="dxa"/>
              <w:left w:w="-1" w:type="dxa"/>
              <w:bottom w:w="-1" w:type="dxa"/>
              <w:right w:w="-1" w:type="dxa"/>
            </w:tcMar>
            <w:vAlign w:val="center"/>
          </w:tcPr>
          <w:p w14:paraId="5FE71269">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48E4F570">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55CE09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619937A8">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9</w:t>
            </w:r>
          </w:p>
        </w:tc>
        <w:tc>
          <w:tcPr>
            <w:tcW w:w="0" w:type="auto"/>
            <w:noWrap w:val="0"/>
            <w:tcMar>
              <w:top w:w="-1" w:type="dxa"/>
              <w:left w:w="-1" w:type="dxa"/>
              <w:bottom w:w="-1" w:type="dxa"/>
              <w:right w:w="-1" w:type="dxa"/>
            </w:tcMar>
            <w:vAlign w:val="center"/>
          </w:tcPr>
          <w:p w14:paraId="39EAF51F">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lang w:eastAsia="zh-CN"/>
              </w:rPr>
              <w:t>供应商</w:t>
            </w:r>
            <w:r>
              <w:rPr>
                <w:rFonts w:hint="eastAsia" w:ascii="仿宋" w:hAnsi="仿宋" w:eastAsia="仿宋" w:cs="仿宋"/>
                <w:b w:val="0"/>
                <w:bCs/>
                <w:i w:val="0"/>
                <w:spacing w:val="0"/>
                <w:sz w:val="24"/>
              </w:rPr>
              <w:t>驻场人员文明有礼，态度和蔼</w:t>
            </w:r>
          </w:p>
        </w:tc>
        <w:tc>
          <w:tcPr>
            <w:tcW w:w="3797" w:type="dxa"/>
            <w:noWrap w:val="0"/>
            <w:tcMar>
              <w:top w:w="-1" w:type="dxa"/>
              <w:left w:w="-1" w:type="dxa"/>
              <w:bottom w:w="-1" w:type="dxa"/>
              <w:right w:w="-1" w:type="dxa"/>
            </w:tcMar>
            <w:vAlign w:val="center"/>
          </w:tcPr>
          <w:p w14:paraId="5CC69851">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10分：态度热情，彬彬有礼</w:t>
            </w:r>
          </w:p>
          <w:p w14:paraId="5495DFF8">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8分：态度平淡，无投诉</w:t>
            </w:r>
          </w:p>
          <w:p w14:paraId="70073B19">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分：态度恶劣，遭投诉</w:t>
            </w:r>
          </w:p>
        </w:tc>
        <w:tc>
          <w:tcPr>
            <w:tcW w:w="709" w:type="dxa"/>
            <w:noWrap w:val="0"/>
            <w:tcMar>
              <w:top w:w="-1" w:type="dxa"/>
              <w:left w:w="-1" w:type="dxa"/>
              <w:bottom w:w="-1" w:type="dxa"/>
              <w:right w:w="-1" w:type="dxa"/>
            </w:tcMar>
            <w:vAlign w:val="center"/>
          </w:tcPr>
          <w:p w14:paraId="27E4E1BC">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2CE71F0C">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5A49B0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33606BB0">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rPr>
              <w:t>10</w:t>
            </w:r>
          </w:p>
        </w:tc>
        <w:tc>
          <w:tcPr>
            <w:tcW w:w="0" w:type="auto"/>
            <w:noWrap w:val="0"/>
            <w:tcMar>
              <w:top w:w="-1" w:type="dxa"/>
              <w:left w:w="-1" w:type="dxa"/>
              <w:bottom w:w="-1" w:type="dxa"/>
              <w:right w:w="-1" w:type="dxa"/>
            </w:tcMar>
            <w:vAlign w:val="center"/>
          </w:tcPr>
          <w:p w14:paraId="29D5CC2B">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bCs/>
                <w:sz w:val="24"/>
              </w:rPr>
            </w:pPr>
            <w:r>
              <w:rPr>
                <w:rFonts w:hint="eastAsia" w:ascii="仿宋" w:hAnsi="仿宋" w:eastAsia="仿宋" w:cs="仿宋"/>
                <w:b w:val="0"/>
                <w:bCs/>
                <w:i w:val="0"/>
                <w:spacing w:val="0"/>
                <w:sz w:val="24"/>
              </w:rPr>
              <w:t>医护人员对服务整体满意度</w:t>
            </w:r>
          </w:p>
        </w:tc>
        <w:tc>
          <w:tcPr>
            <w:tcW w:w="3797" w:type="dxa"/>
            <w:noWrap w:val="0"/>
            <w:tcMar>
              <w:top w:w="-1" w:type="dxa"/>
              <w:left w:w="-1" w:type="dxa"/>
              <w:bottom w:w="-1" w:type="dxa"/>
              <w:right w:w="-1" w:type="dxa"/>
            </w:tcMar>
            <w:vAlign w:val="center"/>
          </w:tcPr>
          <w:p w14:paraId="25DDE1CD">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10分：非常满意</w:t>
            </w:r>
          </w:p>
          <w:p w14:paraId="3B537F70">
            <w:pPr>
              <w:pageBreakBefore w:val="0"/>
              <w:wordWrap/>
              <w:snapToGrid w:val="0"/>
              <w:spacing w:before="0" w:after="0"/>
              <w:ind w:left="0" w:leftChars="0" w:right="0" w:rightChars="0" w:firstLine="0" w:firstLineChars="0"/>
              <w:jc w:val="center"/>
              <w:textAlignment w:val="auto"/>
              <w:rPr>
                <w:rFonts w:hint="eastAsia" w:ascii="仿宋" w:hAnsi="仿宋" w:eastAsia="仿宋" w:cs="仿宋"/>
                <w:b w:val="0"/>
                <w:i w:val="0"/>
                <w:spacing w:val="0"/>
                <w:sz w:val="24"/>
              </w:rPr>
            </w:pPr>
            <w:r>
              <w:rPr>
                <w:rFonts w:hint="eastAsia" w:ascii="仿宋" w:hAnsi="仿宋" w:eastAsia="仿宋" w:cs="仿宋"/>
                <w:b w:val="0"/>
                <w:i w:val="0"/>
                <w:spacing w:val="0"/>
                <w:sz w:val="24"/>
              </w:rPr>
              <w:t>8分：基本满意</w:t>
            </w:r>
          </w:p>
          <w:p w14:paraId="57A8BC89">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r>
              <w:rPr>
                <w:rFonts w:hint="eastAsia" w:ascii="仿宋" w:hAnsi="仿宋" w:eastAsia="仿宋" w:cs="仿宋"/>
                <w:b w:val="0"/>
                <w:i w:val="0"/>
                <w:spacing w:val="0"/>
                <w:sz w:val="24"/>
                <w:lang w:val="en-US" w:eastAsia="zh-CN"/>
              </w:rPr>
              <w:t>0</w:t>
            </w:r>
            <w:r>
              <w:rPr>
                <w:rFonts w:hint="eastAsia" w:ascii="仿宋" w:hAnsi="仿宋" w:eastAsia="仿宋" w:cs="仿宋"/>
                <w:b w:val="0"/>
                <w:i w:val="0"/>
                <w:spacing w:val="0"/>
                <w:sz w:val="24"/>
              </w:rPr>
              <w:t>分：不满意</w:t>
            </w:r>
          </w:p>
        </w:tc>
        <w:tc>
          <w:tcPr>
            <w:tcW w:w="709" w:type="dxa"/>
            <w:noWrap w:val="0"/>
            <w:tcMar>
              <w:top w:w="-1" w:type="dxa"/>
              <w:left w:w="-1" w:type="dxa"/>
              <w:bottom w:w="-1" w:type="dxa"/>
              <w:right w:w="-1" w:type="dxa"/>
            </w:tcMar>
            <w:vAlign w:val="center"/>
          </w:tcPr>
          <w:p w14:paraId="5943A90E">
            <w:pPr>
              <w:pageBreakBefore w:val="0"/>
              <w:wordWrap/>
              <w:snapToGrid w:val="0"/>
              <w:spacing w:before="0" w:after="0"/>
              <w:ind w:left="0" w:leftChars="0" w:right="0" w:rightChars="0" w:firstLine="0" w:firstLineChars="0"/>
              <w:jc w:val="left"/>
              <w:textAlignment w:val="auto"/>
              <w:rPr>
                <w:rFonts w:hint="eastAsia" w:ascii="仿宋" w:hAnsi="仿宋" w:eastAsia="仿宋" w:cs="仿宋"/>
                <w:sz w:val="24"/>
              </w:rPr>
            </w:pPr>
          </w:p>
        </w:tc>
        <w:tc>
          <w:tcPr>
            <w:tcW w:w="1270" w:type="dxa"/>
            <w:noWrap w:val="0"/>
            <w:tcMar>
              <w:top w:w="-1" w:type="dxa"/>
              <w:left w:w="-1" w:type="dxa"/>
              <w:bottom w:w="-1" w:type="dxa"/>
              <w:right w:w="-1" w:type="dxa"/>
            </w:tcMar>
            <w:vAlign w:val="center"/>
          </w:tcPr>
          <w:p w14:paraId="6E608443">
            <w:pPr>
              <w:pageBreakBefore w:val="0"/>
              <w:wordWrap/>
              <w:snapToGrid w:val="0"/>
              <w:spacing w:before="0" w:after="0"/>
              <w:ind w:left="0" w:leftChars="0" w:right="0" w:rightChars="0" w:firstLine="0" w:firstLineChars="0"/>
              <w:jc w:val="center"/>
              <w:textAlignment w:val="auto"/>
              <w:rPr>
                <w:rFonts w:hint="eastAsia" w:ascii="仿宋" w:hAnsi="仿宋" w:eastAsia="仿宋" w:cs="仿宋"/>
                <w:sz w:val="24"/>
              </w:rPr>
            </w:pPr>
          </w:p>
        </w:tc>
      </w:tr>
      <w:tr w14:paraId="6B23DD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0" w:hRule="atLeast"/>
          <w:jc w:val="center"/>
        </w:trPr>
        <w:tc>
          <w:tcPr>
            <w:tcW w:w="325" w:type="dxa"/>
            <w:noWrap w:val="0"/>
            <w:tcMar>
              <w:top w:w="-1" w:type="dxa"/>
              <w:left w:w="-1" w:type="dxa"/>
              <w:bottom w:w="-1" w:type="dxa"/>
              <w:right w:w="-1" w:type="dxa"/>
            </w:tcMar>
            <w:vAlign w:val="center"/>
          </w:tcPr>
          <w:p w14:paraId="076F431C">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合计</w:t>
            </w:r>
          </w:p>
        </w:tc>
        <w:tc>
          <w:tcPr>
            <w:tcW w:w="2236" w:type="dxa"/>
            <w:noWrap w:val="0"/>
            <w:tcMar>
              <w:top w:w="-1" w:type="dxa"/>
              <w:left w:w="-1" w:type="dxa"/>
              <w:bottom w:w="-1" w:type="dxa"/>
              <w:right w:w="-1" w:type="dxa"/>
            </w:tcMar>
            <w:vAlign w:val="center"/>
          </w:tcPr>
          <w:p w14:paraId="1381BA83">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r>
              <w:rPr>
                <w:rFonts w:hint="eastAsia" w:ascii="仿宋" w:hAnsi="仿宋" w:eastAsia="仿宋" w:cs="仿宋"/>
                <w:b/>
                <w:i w:val="0"/>
                <w:spacing w:val="0"/>
                <w:sz w:val="24"/>
              </w:rPr>
              <w:t>总分</w:t>
            </w:r>
          </w:p>
        </w:tc>
        <w:tc>
          <w:tcPr>
            <w:tcW w:w="3797" w:type="dxa"/>
            <w:noWrap w:val="0"/>
            <w:tcMar>
              <w:top w:w="-1" w:type="dxa"/>
              <w:left w:w="-1" w:type="dxa"/>
              <w:bottom w:w="-1" w:type="dxa"/>
              <w:right w:w="-1" w:type="dxa"/>
            </w:tcMar>
            <w:vAlign w:val="center"/>
          </w:tcPr>
          <w:p w14:paraId="6443C2D2">
            <w:pPr>
              <w:pageBreakBefore w:val="0"/>
              <w:wordWrap/>
              <w:snapToGrid w:val="0"/>
              <w:spacing w:before="0" w:after="0"/>
              <w:ind w:left="0" w:leftChars="0" w:right="0" w:rightChars="0" w:firstLine="0" w:firstLineChars="0"/>
              <w:jc w:val="left"/>
              <w:textAlignment w:val="auto"/>
              <w:rPr>
                <w:rFonts w:hint="eastAsia" w:ascii="仿宋" w:hAnsi="仿宋" w:eastAsia="仿宋" w:cs="仿宋"/>
                <w:b/>
                <w:sz w:val="24"/>
              </w:rPr>
            </w:pPr>
          </w:p>
        </w:tc>
        <w:tc>
          <w:tcPr>
            <w:tcW w:w="709" w:type="dxa"/>
            <w:noWrap w:val="0"/>
            <w:tcMar>
              <w:top w:w="-1" w:type="dxa"/>
              <w:left w:w="-1" w:type="dxa"/>
              <w:bottom w:w="-1" w:type="dxa"/>
              <w:right w:w="-1" w:type="dxa"/>
            </w:tcMar>
            <w:vAlign w:val="center"/>
          </w:tcPr>
          <w:p w14:paraId="64501414">
            <w:pPr>
              <w:pageBreakBefore w:val="0"/>
              <w:wordWrap/>
              <w:snapToGrid w:val="0"/>
              <w:spacing w:before="0" w:after="0"/>
              <w:ind w:left="0" w:leftChars="0" w:right="0" w:rightChars="0" w:firstLine="0" w:firstLineChars="0"/>
              <w:jc w:val="left"/>
              <w:textAlignment w:val="auto"/>
              <w:rPr>
                <w:rFonts w:hint="eastAsia" w:ascii="仿宋" w:hAnsi="仿宋" w:eastAsia="仿宋" w:cs="仿宋"/>
                <w:b/>
                <w:sz w:val="24"/>
              </w:rPr>
            </w:pPr>
          </w:p>
        </w:tc>
        <w:tc>
          <w:tcPr>
            <w:tcW w:w="1270" w:type="dxa"/>
            <w:noWrap w:val="0"/>
            <w:tcMar>
              <w:top w:w="-1" w:type="dxa"/>
              <w:left w:w="-1" w:type="dxa"/>
              <w:bottom w:w="-1" w:type="dxa"/>
              <w:right w:w="-1" w:type="dxa"/>
            </w:tcMar>
            <w:vAlign w:val="center"/>
          </w:tcPr>
          <w:p w14:paraId="2CE823C6">
            <w:pPr>
              <w:pageBreakBefore w:val="0"/>
              <w:wordWrap/>
              <w:snapToGrid w:val="0"/>
              <w:spacing w:before="0" w:after="0"/>
              <w:ind w:left="0" w:leftChars="0" w:right="0" w:rightChars="0" w:firstLine="0" w:firstLineChars="0"/>
              <w:jc w:val="center"/>
              <w:textAlignment w:val="auto"/>
              <w:rPr>
                <w:rFonts w:hint="eastAsia" w:ascii="仿宋" w:hAnsi="仿宋" w:eastAsia="仿宋" w:cs="仿宋"/>
                <w:b/>
                <w:sz w:val="24"/>
              </w:rPr>
            </w:pPr>
          </w:p>
        </w:tc>
      </w:tr>
    </w:tbl>
    <w:p w14:paraId="60BC4A1A">
      <w:pPr>
        <w:keepNext w:val="0"/>
        <w:keepLines w:val="0"/>
        <w:pageBreakBefore w:val="0"/>
        <w:widowControl w:val="0"/>
        <w:kinsoku/>
        <w:wordWrap/>
        <w:overflowPunct/>
        <w:topLinePunct w:val="0"/>
        <w:autoSpaceDE/>
        <w:autoSpaceDN/>
        <w:bidi w:val="0"/>
        <w:adjustRightInd/>
        <w:snapToGrid/>
        <w:spacing w:before="160" w:after="0" w:line="560" w:lineRule="exact"/>
        <w:ind w:left="0" w:right="0"/>
        <w:jc w:val="left"/>
        <w:textAlignment w:val="auto"/>
        <w:rPr>
          <w:rFonts w:hint="eastAsia" w:ascii="黑体" w:hAnsi="黑体" w:eastAsia="黑体" w:cs="黑体"/>
          <w:sz w:val="24"/>
        </w:rPr>
      </w:pPr>
      <w:r>
        <w:rPr>
          <w:rFonts w:hint="eastAsia" w:ascii="黑体" w:hAnsi="黑体" w:eastAsia="黑体" w:cs="黑体"/>
          <w:b/>
          <w:i w:val="0"/>
          <w:spacing w:val="0"/>
          <w:sz w:val="24"/>
        </w:rPr>
        <w:t>本次考核总分：</w:t>
      </w:r>
      <w:r>
        <w:rPr>
          <w:rFonts w:hint="eastAsia" w:ascii="黑体" w:hAnsi="黑体" w:eastAsia="黑体" w:cs="黑体"/>
          <w:b w:val="0"/>
          <w:i w:val="0"/>
          <w:spacing w:val="0"/>
          <w:sz w:val="24"/>
        </w:rPr>
        <w:t>_________分</w:t>
      </w:r>
    </w:p>
    <w:p w14:paraId="1FFCB237">
      <w:pPr>
        <w:keepNext w:val="0"/>
        <w:keepLines w:val="0"/>
        <w:pageBreakBefore w:val="0"/>
        <w:widowControl w:val="0"/>
        <w:kinsoku/>
        <w:wordWrap/>
        <w:overflowPunct/>
        <w:topLinePunct w:val="0"/>
        <w:autoSpaceDE/>
        <w:autoSpaceDN/>
        <w:bidi w:val="0"/>
        <w:adjustRightInd/>
        <w:snapToGrid/>
        <w:spacing w:before="160" w:after="0" w:line="560" w:lineRule="exact"/>
        <w:ind w:left="0" w:right="0"/>
        <w:jc w:val="left"/>
        <w:textAlignment w:val="auto"/>
        <w:rPr>
          <w:rFonts w:hint="eastAsia" w:ascii="黑体" w:hAnsi="黑体" w:eastAsia="黑体" w:cs="黑体"/>
          <w:sz w:val="24"/>
        </w:rPr>
      </w:pPr>
      <w:r>
        <w:rPr>
          <w:rFonts w:hint="eastAsia" w:ascii="黑体" w:hAnsi="黑体" w:eastAsia="黑体" w:cs="黑体"/>
          <w:b/>
          <w:i w:val="0"/>
          <w:spacing w:val="0"/>
          <w:sz w:val="24"/>
        </w:rPr>
        <w:t>考核人签字：</w:t>
      </w:r>
      <w:r>
        <w:rPr>
          <w:rFonts w:hint="eastAsia" w:ascii="黑体" w:hAnsi="黑体" w:eastAsia="黑体" w:cs="黑体"/>
          <w:b w:val="0"/>
          <w:i w:val="0"/>
          <w:spacing w:val="0"/>
          <w:sz w:val="24"/>
        </w:rPr>
        <w:t>__________________</w:t>
      </w:r>
    </w:p>
    <w:p w14:paraId="122E544E">
      <w:pPr>
        <w:keepNext w:val="0"/>
        <w:keepLines w:val="0"/>
        <w:pageBreakBefore w:val="0"/>
        <w:widowControl w:val="0"/>
        <w:kinsoku/>
        <w:wordWrap/>
        <w:overflowPunct/>
        <w:topLinePunct w:val="0"/>
        <w:autoSpaceDE/>
        <w:autoSpaceDN/>
        <w:bidi w:val="0"/>
        <w:adjustRightInd/>
        <w:snapToGrid/>
        <w:spacing w:before="160" w:after="0" w:line="560" w:lineRule="exact"/>
        <w:ind w:left="0" w:right="0"/>
        <w:jc w:val="left"/>
        <w:textAlignment w:val="auto"/>
        <w:rPr>
          <w:rFonts w:hint="eastAsia" w:ascii="黑体" w:hAnsi="黑体" w:eastAsia="黑体" w:cs="黑体"/>
          <w:sz w:val="24"/>
        </w:rPr>
      </w:pPr>
      <w:r>
        <w:rPr>
          <w:rFonts w:hint="eastAsia" w:ascii="黑体" w:hAnsi="黑体" w:eastAsia="黑体" w:cs="黑体"/>
          <w:b/>
          <w:i w:val="0"/>
          <w:spacing w:val="0"/>
          <w:sz w:val="24"/>
          <w:lang w:val="en-US" w:eastAsia="zh-CN"/>
        </w:rPr>
        <w:t>供应商</w:t>
      </w:r>
      <w:r>
        <w:rPr>
          <w:rFonts w:hint="eastAsia" w:ascii="黑体" w:hAnsi="黑体" w:eastAsia="黑体" w:cs="黑体"/>
          <w:b/>
          <w:i w:val="0"/>
          <w:spacing w:val="0"/>
          <w:sz w:val="24"/>
        </w:rPr>
        <w:t>确认签字：</w:t>
      </w:r>
      <w:r>
        <w:rPr>
          <w:rFonts w:hint="eastAsia" w:ascii="黑体" w:hAnsi="黑体" w:eastAsia="黑体" w:cs="黑体"/>
          <w:b w:val="0"/>
          <w:i w:val="0"/>
          <w:spacing w:val="0"/>
          <w:sz w:val="24"/>
        </w:rPr>
        <w:t>__________________</w:t>
      </w:r>
    </w:p>
    <w:p w14:paraId="0EA77C56">
      <w:pPr>
        <w:keepNext w:val="0"/>
        <w:keepLines w:val="0"/>
        <w:pageBreakBefore w:val="0"/>
        <w:widowControl w:val="0"/>
        <w:kinsoku/>
        <w:wordWrap/>
        <w:overflowPunct/>
        <w:topLinePunct w:val="0"/>
        <w:autoSpaceDE/>
        <w:autoSpaceDN/>
        <w:bidi w:val="0"/>
        <w:adjustRightInd/>
        <w:snapToGrid/>
        <w:spacing w:before="160" w:after="0" w:line="560" w:lineRule="exact"/>
        <w:ind w:left="0" w:right="0"/>
        <w:jc w:val="left"/>
        <w:textAlignment w:val="auto"/>
        <w:rPr>
          <w:rFonts w:hint="eastAsia" w:ascii="黑体" w:hAnsi="黑体" w:eastAsia="黑体" w:cs="黑体"/>
          <w:sz w:val="24"/>
        </w:rPr>
      </w:pPr>
      <w:r>
        <w:rPr>
          <w:rFonts w:hint="eastAsia" w:ascii="黑体" w:hAnsi="黑体" w:eastAsia="黑体" w:cs="黑体"/>
          <w:b/>
          <w:i w:val="0"/>
          <w:spacing w:val="0"/>
          <w:sz w:val="24"/>
        </w:rPr>
        <w:t>日期：</w:t>
      </w:r>
      <w:r>
        <w:rPr>
          <w:rFonts w:hint="eastAsia" w:ascii="黑体" w:hAnsi="黑体" w:eastAsia="黑体" w:cs="黑体"/>
          <w:b w:val="0"/>
          <w:i w:val="0"/>
          <w:spacing w:val="0"/>
          <w:sz w:val="24"/>
        </w:rPr>
        <w:t>__________________</w:t>
      </w:r>
    </w:p>
    <w:p w14:paraId="7ADDC625">
      <w:pPr>
        <w:pStyle w:val="2"/>
        <w:ind w:left="0" w:leftChars="0" w:firstLine="0" w:firstLineChars="0"/>
        <w:rPr>
          <w:rFonts w:hint="eastAsia"/>
        </w:rPr>
      </w:pPr>
    </w:p>
    <w:p w14:paraId="79CAEB21">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p>
    <w:p w14:paraId="7621910C">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p>
    <w:p w14:paraId="22F765EE">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p>
    <w:p w14:paraId="69F3AB22">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r>
        <w:rPr>
          <w:rFonts w:hint="eastAsia" w:ascii="仿宋" w:hAnsi="仿宋" w:eastAsia="仿宋" w:cs="仿宋"/>
          <w:sz w:val="24"/>
          <w:szCs w:val="22"/>
        </w:rPr>
        <w:t>【说明】</w:t>
      </w:r>
    </w:p>
    <w:p w14:paraId="3333CADE">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r>
        <w:rPr>
          <w:rFonts w:hint="eastAsia" w:ascii="仿宋" w:hAnsi="仿宋" w:eastAsia="仿宋" w:cs="仿宋"/>
          <w:sz w:val="24"/>
          <w:szCs w:val="22"/>
        </w:rPr>
        <w:t xml:space="preserve">1、打“★”号条款为实质性条款，若有任何一条负偏离或不满足则导致投标无效。 </w:t>
      </w:r>
    </w:p>
    <w:p w14:paraId="1106C33E">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z w:val="24"/>
          <w:szCs w:val="22"/>
        </w:rPr>
      </w:pPr>
      <w:r>
        <w:rPr>
          <w:rFonts w:hint="eastAsia" w:ascii="仿宋" w:hAnsi="仿宋" w:eastAsia="仿宋" w:cs="仿宋"/>
          <w:sz w:val="24"/>
          <w:szCs w:val="22"/>
        </w:rPr>
        <w:t>2、打“▲”号条款为重要技术参数，若有“▲”条款未响应或不满足，将导致其响应性评审不</w:t>
      </w:r>
      <w:r>
        <w:rPr>
          <w:rFonts w:hint="eastAsia" w:ascii="仿宋" w:hAnsi="仿宋" w:eastAsia="仿宋" w:cs="仿宋"/>
          <w:sz w:val="24"/>
          <w:szCs w:val="22"/>
          <w:lang w:eastAsia="zh-CN"/>
        </w:rPr>
        <w:t>得</w:t>
      </w:r>
      <w:r>
        <w:rPr>
          <w:rFonts w:hint="eastAsia" w:ascii="仿宋" w:hAnsi="仿宋" w:eastAsia="仿宋" w:cs="仿宋"/>
          <w:sz w:val="24"/>
          <w:szCs w:val="22"/>
        </w:rPr>
        <w:t>分，但不作为无效投标条款。</w:t>
      </w:r>
    </w:p>
    <w:p w14:paraId="228281EB">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ascii="仿宋" w:hAnsi="仿宋" w:eastAsia="仿宋" w:cs="仿宋"/>
          <w:color w:val="auto"/>
          <w:sz w:val="32"/>
          <w:szCs w:val="32"/>
          <w:lang w:eastAsia="zh-CN"/>
        </w:rPr>
      </w:pPr>
    </w:p>
    <w:p w14:paraId="68E06EDA">
      <w:pPr>
        <w:keepNext w:val="0"/>
        <w:keepLines w:val="0"/>
        <w:pageBreakBefore w:val="0"/>
        <w:kinsoku/>
        <w:wordWrap/>
        <w:overflowPunct/>
        <w:topLinePunct w:val="0"/>
        <w:autoSpaceDE/>
        <w:autoSpaceDN/>
        <w:bidi w:val="0"/>
        <w:adjustRightInd/>
        <w:snapToGrid/>
        <w:spacing w:line="560" w:lineRule="exact"/>
        <w:ind w:firstLine="640" w:firstLineChars="200"/>
        <w:jc w:val="left"/>
        <w:textAlignment w:val="auto"/>
        <w:rPr>
          <w:rFonts w:hint="default" w:ascii="仿宋" w:hAnsi="仿宋" w:eastAsia="仿宋" w:cs="仿宋"/>
          <w:color w:val="auto"/>
          <w:sz w:val="32"/>
          <w:szCs w:val="32"/>
          <w:lang w:val="en-US" w:eastAsia="zh-CN"/>
        </w:rPr>
      </w:pPr>
    </w:p>
    <w:p w14:paraId="5F6F69AA">
      <w:pPr>
        <w:keepNext w:val="0"/>
        <w:keepLines w:val="0"/>
        <w:pageBreakBefore w:val="0"/>
        <w:kinsoku/>
        <w:wordWrap/>
        <w:overflowPunct/>
        <w:topLinePunct w:val="0"/>
        <w:autoSpaceDE/>
        <w:autoSpaceDN/>
        <w:bidi w:val="0"/>
        <w:adjustRightInd/>
        <w:snapToGrid/>
        <w:spacing w:line="560" w:lineRule="exact"/>
        <w:textAlignment w:val="auto"/>
        <w:rPr>
          <w:sz w:val="21"/>
          <w:szCs w:val="20"/>
        </w:rPr>
      </w:pPr>
    </w:p>
    <w:p w14:paraId="38B049F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jc w:val="both"/>
        <w:textAlignment w:val="auto"/>
        <w:rPr>
          <w:rFonts w:hint="eastAsia" w:ascii="仿宋" w:hAnsi="仿宋" w:eastAsia="仿宋" w:cs="仿宋"/>
          <w:color w:val="auto"/>
          <w:sz w:val="24"/>
          <w:szCs w:val="20"/>
          <w:lang w:val="en-US" w:eastAsia="zh-CN"/>
        </w:rPr>
      </w:pPr>
    </w:p>
    <w:p w14:paraId="7EE327F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60" w:lineRule="exact"/>
        <w:ind w:right="0"/>
        <w:jc w:val="both"/>
        <w:textAlignment w:val="auto"/>
        <w:rPr>
          <w:rFonts w:hint="eastAsia" w:ascii="仿宋" w:hAnsi="仿宋" w:eastAsia="仿宋" w:cs="仿宋"/>
          <w:color w:val="auto"/>
          <w:sz w:val="24"/>
          <w:szCs w:val="2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D212B09-7511-406C-8620-7BE2A009A91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7DDFAA70-EDC4-4F8B-AEF0-537E703895E9}"/>
  </w:font>
  <w:font w:name="仿宋">
    <w:panose1 w:val="02010609060101010101"/>
    <w:charset w:val="86"/>
    <w:family w:val="auto"/>
    <w:pitch w:val="default"/>
    <w:sig w:usb0="800002BF" w:usb1="38CF7CFA" w:usb2="00000016" w:usb3="00000000" w:csb0="00040001" w:csb1="00000000"/>
    <w:embedRegular r:id="rId3" w:fontKey="{65D6ED87-E990-47D3-87D4-7B64D02C50C5}"/>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B06D1"/>
    <w:rsid w:val="00EA058C"/>
    <w:rsid w:val="010C6D6F"/>
    <w:rsid w:val="01CA5DA6"/>
    <w:rsid w:val="01E44FDB"/>
    <w:rsid w:val="03922815"/>
    <w:rsid w:val="04463D2B"/>
    <w:rsid w:val="049D5915"/>
    <w:rsid w:val="05AD1B88"/>
    <w:rsid w:val="073836D3"/>
    <w:rsid w:val="078828AD"/>
    <w:rsid w:val="07CA4C73"/>
    <w:rsid w:val="082617B1"/>
    <w:rsid w:val="0837398B"/>
    <w:rsid w:val="08813AF7"/>
    <w:rsid w:val="08C07E24"/>
    <w:rsid w:val="0A1B1636"/>
    <w:rsid w:val="0AAB0D8C"/>
    <w:rsid w:val="0B354AFA"/>
    <w:rsid w:val="0FD91EF8"/>
    <w:rsid w:val="0FDA5C70"/>
    <w:rsid w:val="10482BD9"/>
    <w:rsid w:val="105C48D7"/>
    <w:rsid w:val="10D426BF"/>
    <w:rsid w:val="126D4B79"/>
    <w:rsid w:val="14121E9D"/>
    <w:rsid w:val="154047C7"/>
    <w:rsid w:val="17253C74"/>
    <w:rsid w:val="17780248"/>
    <w:rsid w:val="17C34DED"/>
    <w:rsid w:val="17FF3E14"/>
    <w:rsid w:val="18371EB1"/>
    <w:rsid w:val="18FF5617"/>
    <w:rsid w:val="1C365B88"/>
    <w:rsid w:val="1CDC7C97"/>
    <w:rsid w:val="1CE231A1"/>
    <w:rsid w:val="1D0D3F8F"/>
    <w:rsid w:val="1E6073AC"/>
    <w:rsid w:val="1F470500"/>
    <w:rsid w:val="1FA0658E"/>
    <w:rsid w:val="1FAE057F"/>
    <w:rsid w:val="20E64474"/>
    <w:rsid w:val="217F0425"/>
    <w:rsid w:val="22192627"/>
    <w:rsid w:val="22370D00"/>
    <w:rsid w:val="22511DC1"/>
    <w:rsid w:val="22761828"/>
    <w:rsid w:val="229D5007"/>
    <w:rsid w:val="22F64717"/>
    <w:rsid w:val="22FD3CF7"/>
    <w:rsid w:val="23337719"/>
    <w:rsid w:val="23B474D8"/>
    <w:rsid w:val="25F5515A"/>
    <w:rsid w:val="26412A64"/>
    <w:rsid w:val="27924854"/>
    <w:rsid w:val="27DF39CB"/>
    <w:rsid w:val="28355CE1"/>
    <w:rsid w:val="28612632"/>
    <w:rsid w:val="290D27BA"/>
    <w:rsid w:val="29DA6B40"/>
    <w:rsid w:val="2A102562"/>
    <w:rsid w:val="2A7467DA"/>
    <w:rsid w:val="2AEE4ED1"/>
    <w:rsid w:val="2B2A31B0"/>
    <w:rsid w:val="2B795EE5"/>
    <w:rsid w:val="2BEB6DE3"/>
    <w:rsid w:val="2C733D35"/>
    <w:rsid w:val="2CCF04B2"/>
    <w:rsid w:val="2CDD4252"/>
    <w:rsid w:val="2CE315F0"/>
    <w:rsid w:val="2D2325AC"/>
    <w:rsid w:val="2FE06533"/>
    <w:rsid w:val="325B3B73"/>
    <w:rsid w:val="32E427DE"/>
    <w:rsid w:val="33A31D51"/>
    <w:rsid w:val="344C0532"/>
    <w:rsid w:val="345117AD"/>
    <w:rsid w:val="348F0527"/>
    <w:rsid w:val="357A4D33"/>
    <w:rsid w:val="35CD57AB"/>
    <w:rsid w:val="373F6235"/>
    <w:rsid w:val="37757D3A"/>
    <w:rsid w:val="377D002A"/>
    <w:rsid w:val="38B642D4"/>
    <w:rsid w:val="39773D34"/>
    <w:rsid w:val="3A0D55EB"/>
    <w:rsid w:val="3AEE4E1F"/>
    <w:rsid w:val="3AEF1D20"/>
    <w:rsid w:val="3B7F30A4"/>
    <w:rsid w:val="3BEB1C9B"/>
    <w:rsid w:val="3BEE1FD7"/>
    <w:rsid w:val="3BFC64A2"/>
    <w:rsid w:val="3C8F7316"/>
    <w:rsid w:val="3D9A41C5"/>
    <w:rsid w:val="3E1877DF"/>
    <w:rsid w:val="3E5500EC"/>
    <w:rsid w:val="3F06588A"/>
    <w:rsid w:val="40F77B80"/>
    <w:rsid w:val="41326E0A"/>
    <w:rsid w:val="42576B28"/>
    <w:rsid w:val="43056584"/>
    <w:rsid w:val="436F7EA2"/>
    <w:rsid w:val="44307631"/>
    <w:rsid w:val="447F2366"/>
    <w:rsid w:val="451E392D"/>
    <w:rsid w:val="481E5F6E"/>
    <w:rsid w:val="48D2515B"/>
    <w:rsid w:val="49511865"/>
    <w:rsid w:val="49B06B5F"/>
    <w:rsid w:val="4B751DCD"/>
    <w:rsid w:val="4D763A32"/>
    <w:rsid w:val="4F4E12B3"/>
    <w:rsid w:val="4F552641"/>
    <w:rsid w:val="4F6603AB"/>
    <w:rsid w:val="4FFB7978"/>
    <w:rsid w:val="502B5150"/>
    <w:rsid w:val="50CA2BBB"/>
    <w:rsid w:val="51430BB5"/>
    <w:rsid w:val="51E03CF4"/>
    <w:rsid w:val="5281374D"/>
    <w:rsid w:val="532A16EF"/>
    <w:rsid w:val="534327B1"/>
    <w:rsid w:val="537E16C2"/>
    <w:rsid w:val="540E7263"/>
    <w:rsid w:val="54232D0E"/>
    <w:rsid w:val="5486329D"/>
    <w:rsid w:val="55142068"/>
    <w:rsid w:val="565C7795"/>
    <w:rsid w:val="576C0528"/>
    <w:rsid w:val="57931F59"/>
    <w:rsid w:val="57C2283E"/>
    <w:rsid w:val="57F56770"/>
    <w:rsid w:val="587A6C75"/>
    <w:rsid w:val="5A53777D"/>
    <w:rsid w:val="5AA20705"/>
    <w:rsid w:val="5AC4067B"/>
    <w:rsid w:val="5B525C87"/>
    <w:rsid w:val="5C007E73"/>
    <w:rsid w:val="5F700DD2"/>
    <w:rsid w:val="5FE1582B"/>
    <w:rsid w:val="605D47E5"/>
    <w:rsid w:val="608A7834"/>
    <w:rsid w:val="61A11716"/>
    <w:rsid w:val="61A30FEA"/>
    <w:rsid w:val="6377272F"/>
    <w:rsid w:val="63D556A7"/>
    <w:rsid w:val="646D1D84"/>
    <w:rsid w:val="66664CDC"/>
    <w:rsid w:val="666B22F3"/>
    <w:rsid w:val="66860EDB"/>
    <w:rsid w:val="66C33EDD"/>
    <w:rsid w:val="67134B24"/>
    <w:rsid w:val="68C77CB4"/>
    <w:rsid w:val="68FC74CF"/>
    <w:rsid w:val="69B144C0"/>
    <w:rsid w:val="6BF54B38"/>
    <w:rsid w:val="6DE54739"/>
    <w:rsid w:val="6DFC7D32"/>
    <w:rsid w:val="6E2E7E8E"/>
    <w:rsid w:val="6E4F6056"/>
    <w:rsid w:val="717E737E"/>
    <w:rsid w:val="718F158B"/>
    <w:rsid w:val="727147ED"/>
    <w:rsid w:val="72B56DCF"/>
    <w:rsid w:val="73F04BD5"/>
    <w:rsid w:val="7423420D"/>
    <w:rsid w:val="74AA0547"/>
    <w:rsid w:val="75331721"/>
    <w:rsid w:val="757C3BD5"/>
    <w:rsid w:val="762A7AD4"/>
    <w:rsid w:val="76946CFC"/>
    <w:rsid w:val="76960CC6"/>
    <w:rsid w:val="76EF6628"/>
    <w:rsid w:val="77253DF8"/>
    <w:rsid w:val="777D3C34"/>
    <w:rsid w:val="77843214"/>
    <w:rsid w:val="77B27D81"/>
    <w:rsid w:val="79725A1A"/>
    <w:rsid w:val="7C5F1B5A"/>
    <w:rsid w:val="7D3B25C7"/>
    <w:rsid w:val="7E110BB2"/>
    <w:rsid w:val="7E2B43EA"/>
    <w:rsid w:val="7FE44850"/>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qFormat/>
    <w:uiPriority w:val="9"/>
    <w:pPr>
      <w:keepNext/>
      <w:keepLines/>
      <w:tabs>
        <w:tab w:val="left" w:pos="567"/>
      </w:tabs>
      <w:spacing w:before="260" w:after="260" w:line="413" w:lineRule="auto"/>
      <w:ind w:left="992" w:hanging="567"/>
      <w:outlineLvl w:val="1"/>
    </w:pPr>
    <w:rPr>
      <w:rFonts w:ascii="Arial" w:hAnsi="Arial" w:eastAsia="黑体"/>
      <w:b/>
      <w:bCs/>
      <w:kern w:val="2"/>
      <w:sz w:val="32"/>
      <w:szCs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next w:val="1"/>
    <w:qFormat/>
    <w:uiPriority w:val="1"/>
    <w:pPr>
      <w:ind w:left="3166"/>
    </w:pPr>
    <w:rPr>
      <w:rFonts w:ascii="宋体" w:hAnsi="宋体" w:eastAsia="宋体"/>
      <w:sz w:val="17"/>
      <w:szCs w:val="17"/>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Strong"/>
    <w:basedOn w:val="7"/>
    <w:qFormat/>
    <w:uiPriority w:val="0"/>
    <w:rPr>
      <w:b/>
    </w:rPr>
  </w:style>
  <w:style w:type="paragraph" w:customStyle="1" w:styleId="9">
    <w:name w:val="正文_0"/>
    <w:qFormat/>
    <w:uiPriority w:val="0"/>
    <w:pPr>
      <w:widowControl w:val="0"/>
      <w:jc w:val="both"/>
    </w:pPr>
    <w:rPr>
      <w:rFonts w:ascii="Times New Roman" w:hAnsi="Times New Roman" w:eastAsia="宋体" w:cs="黑体"/>
      <w:kern w:val="2"/>
      <w:sz w:val="21"/>
      <w:lang w:val="en-US" w:eastAsia="zh-CN" w:bidi="ar-SA"/>
    </w:rPr>
  </w:style>
  <w:style w:type="paragraph" w:customStyle="1" w:styleId="10">
    <w:name w:val="null3"/>
    <w:hidden/>
    <w:qFormat/>
    <w:uiPriority w:val="0"/>
    <w:rPr>
      <w:rFonts w:hint="eastAsia" w:asciiTheme="minorHAnsi" w:hAnsiTheme="minorHAnsi" w:eastAsiaTheme="minorEastAsia" w:cstheme="minorBidi"/>
      <w:lang w:val="en-US" w:eastAsia="zh-Hans"/>
    </w:rPr>
  </w:style>
  <w:style w:type="paragraph" w:styleId="11">
    <w:name w:val="Intense Quote"/>
    <w:next w:val="1"/>
    <w:qFormat/>
    <w:uiPriority w:val="0"/>
    <w:pPr>
      <w:wordWrap w:val="0"/>
      <w:spacing w:before="360" w:after="360"/>
      <w:ind w:left="950" w:right="950"/>
      <w:jc w:val="center"/>
    </w:pPr>
    <w:rPr>
      <w:rFonts w:ascii="宋体" w:hAnsi="宋体" w:eastAsia="宋体" w:cs="宋体"/>
      <w:i/>
      <w:sz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6088</Words>
  <Characters>6297</Characters>
  <Lines>0</Lines>
  <Paragraphs>0</Paragraphs>
  <TotalTime>0</TotalTime>
  <ScaleCrop>false</ScaleCrop>
  <LinksUpToDate>false</LinksUpToDate>
  <CharactersWithSpaces>6300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2024-12-05T01:53:00Z</dcterms:created>
  <dc:creator>user6183</dc:creator>
  <cp:lastModifiedBy>朱成彬</cp:lastModifiedBy>
  <cp:lastPrinted>2024-12-30T06:34:00Z</cp:lastPrinted>
  <dcterms:modified xsi:type="dcterms:W3CDTF">2026-04-23T08:54:11Z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1221AC662D5E4F06BE8414AA189C1C60_12</vt:lpwstr>
  </property>
  <property fmtid="{D5CDD505-2E9C-101B-9397-08002B2CF9AE}" pid="4" name="KSOTemplateDocerSaveRecord">
    <vt:lpwstr>eyJoZGlkIjoiN2RmOGM4Y2M1YTA5NzY4ODU1N2FhODRmMmVmNjNhMDUiLCJ1c2VySWQiOiIyODI5OTUwNDkifQ==</vt:lpwstr>
  </property>
</Properties>
</file>