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圆爱康 · 认知康复 口径与话术卡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版本：v1.0 · 2026-10-07 · 小鲸鱼起草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用途：对内红线底座。所有认知康复对外物料（PPT/展板/科普稿/彩页/销售话术）出稿前，一律先过本卡。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适用：神经内科（主）＋ 康复科（辅）· 认知训练 · 居家康复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〇、一句话记住这份卡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认知康复对外只讲一条主路： 医院神经内科/康复科的医生做评估、开训练方案，患者在系统指导下居家训练，医生看数据调方案——圆爱康提供系统与运营，医疗行为在医院、在医生。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凡与本卡冲突的表述，以本卡为准；本卡与公司《01_对外红线》冲突时，以公司红线为准。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一、站位红线（最常错，先背这条）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 xml:space="preserve"> 禁用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 xml:space="preserve"> 正确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圆爱康提供认知评估/训练服务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合作医院神经内科/康复科医生评估并开具训练方案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系统自动开方案 / 客服协助开单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处方行为由执业医师专属完成，在医院内发生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圆爱康认知康复项目"疗效好"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该模式已在多地落地（转述实证，见第五节）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标准站位句：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主治医师评估认知功能并开具居家训练方案；处方行为由执业医师专属完成，在医院内发生。圆爱康提供医疗级认知训练系统、数据系统与运营支持。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二、认知训练是什么（定义句，一字不改）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标准句：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认知训练，是把医院神经内科/康复科的认知评估与训练能力，通过"评估—训练—回看"闭环延伸到患者家中。系统按国际通用诊断标准 DSM-V 六大认知域建模，医生开方案、看数据、调难度，患者在系统指导下居家训练。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六大认知域（顺序不得改）：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复合注意　2. 学习记忆　3. 知觉运动　4. 语言言语　5. 执行抑制　6. 社会认知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核心数字口径（对外统一，勿混）：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对外口径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训练模块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6 个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标准训练任务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36 个（可自定义扩展到 50）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每任务难度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6 级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量表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55 个</w:t>
            </w:r>
          </w:p>
        </w:tc>
      </w:tr>
    </w:tbl>
    <w:p/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 xml:space="preserve"> 专家方案原话"50 个任务/300 多个量表"= 含可扩展表述，对外以 36 任务 / 55 量表为准。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三、评估驱动（认知康复的灵魂，必须讲对）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认知康复 ≠ 心脏康复的"状态式分档"。 绝不能套"卧床期维持期"5 档壳。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正确逻辑（评估驱动闭环）：</w:t>
      </w:r>
    </w:p>
    <w:p>
      <w:r>
        <w:rPr>
          <w:rFonts w:ascii="Consolas" w:hAnsi="Consolas"/>
          <w:sz w:val="18"/>
        </w:rPr>
        <w:t>① 认知评估（多维/六大认知域）</w:t>
        <w:br/>
        <w:t xml:space="preserve">      ↓</w:t>
        <w:br/>
        <w:t>② 系统出「认知轮廓图」（雷达图）——呈现认知障碍的范围与程度</w:t>
        <w:br/>
        <w:t xml:space="preserve">      ↓</w:t>
        <w:br/>
        <w:t>③ 每任务给出：正确率 + 该任务测的能力 +「建议起始难度（1-6级）」</w:t>
        <w:br/>
        <w:t xml:space="preserve">      ↓</w:t>
        <w:br/>
        <w:t>④ 医生一键开训练（核任务、定难度）</w:t>
        <w:br/>
        <w:t xml:space="preserve">      ↓</w:t>
        <w:br/>
        <w:t>⑤ 患者居家训练</w:t>
        <w:br/>
        <w:t xml:space="preserve">      ↓</w:t>
        <w:br/>
        <w:t>⑥ 训练记录回传医生端 → 医生据此调难度与任务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一句话：无评估，不康复。 难度不是医生手填的，是评估算出来、医生再核定的。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四、打卡/追踪口径红线（撞法律承诺的一条，绝不能松）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 xml:space="preserve"> 绝不能说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 xml:space="preserve"> 只能说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能看到患者训练是否标准 / 对错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训练时长与完成度可追踪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系统能判断患者认知是否改善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训练记录（日期/内容/时长/正确率趋势）医生可查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为什么：一旦说"能看到训练是否标准"，即承诺了审核能力，出事要担责。认知训练是游戏任务，不承诺动作审核（心脏康复同此红线）。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五、实证怎么用（内部护规矩）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借的是「鹤灵系统的实证」，不是「圆爱康的落地案例」。 措辞走中性转述——"该模式已在深圳…落地"，不写"我们在深圳做了2000人"。否则对医院会被追问"哪个医院、谁执行的"。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实证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对外怎么讲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深圳第二届十大乐龄项目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深圳 9 区 84 个街道社区及养老院；筛查 2000 名老人；为 500 人提供居家训练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"该认知筛查与居家训练模式已在深圳多点落地"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济南鲁能领秀城筛查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7308 名常住居民 100% 筛查响应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同上，不点名小区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用户案例（75岁女性）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训练 98 天、13 任务、784 局；复合注意30.56%、执行抑制13.7%、语言言语163.64%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作个案转述，不作疗效承诺</w:t>
            </w:r>
          </w:p>
        </w:tc>
      </w:tr>
    </w:tbl>
    <w:p/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 xml:space="preserve"> 患者姓名一律不写（"张XX"也不写），只写"一位75岁女性用户"。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六、资质与背书口径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怎么写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器械资质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核心系统为国家二类医疗器械（鹤灵"数智化认知评估与训练系统"）；注册人为鹤灵主体，非圆爱康自有——不冒充自有注册证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首席科学家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宋鲁平教授（神经病学博士、认知神经科学博士后、38年临床）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学术底座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DSM-V 六大认知域；《阿尔茨海默病多元康复干预中国专家共识2025》《中国认知功能社区筛查及管理指南2025版》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收费正规性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有正式收费编码（认知功能检查/训练/知觉障碍训练/量表评估），证明服务被正规医疗体系认可——不作定价依据，不印具体价格</w:t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七、自费与定价口径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一律自费定价，不走医保（sandy 定）。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收费编码仅作信任背书，绝不当定价依据。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按时长卖（30天/60天/1年），时长内不限次数；训练内容与评估内容由医生定。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三身份价格（内部掌握，不混用）：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套餐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时长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给代理商(进货)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代理商收医院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对外售价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认知训练·套餐一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30天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350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980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1960</w:t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认知训练·套餐二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60天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700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1490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2980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认知训练·套餐三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1年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2000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3490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6980</w:t>
            </w:r>
          </w:p>
        </w:tc>
      </w:tr>
    </w:tbl>
    <w:p/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 xml:space="preserve"> 对外物料不印价格（彩页/展板/PPT/科普稿一律不出现数字）；价格仅进销售随身价目单。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八、绝不说的事项（移植公司红线）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禁用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正确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治愈/根治/包治/效果保证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帮助训练/辅助康复（且由医生判断）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能预防阿尔茨海默 / 能治好痴呆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不能承诺；只说"认知储备训练/辅助康复训练"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替代就医 / 无需去医院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不替代医嘱，具体由医生判断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上门康复 / 上门施治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院内—居家训练闭环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居家健康管理 / 健康管理平台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居家康复 / 智慧居家康复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未经核实的疗效数字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不写；个案只作转述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"行为干预"（与认知训练并列）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只走认知训练；不往BPSD窄口走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8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领航者/倾力打造等旧式宣传语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不用</w:t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九、科室与客户怎么写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 xml:space="preserve"> 必须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 xml:space="preserve"> 禁止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医院神经内科（主）/ 康复科（辅）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只写"康复科"（窄化）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各级医院 / 合作医院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三甲医院（窄化）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合作医疗机构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客户医院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覆盖认知障碍人群：轻度认知障碍（MCI）、主观认知下降（SCD）、阿尔茨海默病等造成认知障碍的居家辅助训练、脑卒中后/帕金森病伴认知下降的康复期人群。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 xml:space="preserve"> 具体适用与禁忌由医生结合患者情况判断，不替代医嘱。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十、快速自检（出稿前逐条打勾）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 ] 有没有把医疗行为写到圆爱康头上？（应归医院/医生）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 ] 有没有出现疗效承诺/具体疗效数字？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 ] 有没有写"能看到训练是否标准"？（应说"时长与完成度可追踪"）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 ] 任务/量表数字是不是 36/55？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 ] 六大认知域名称与顺序对不对？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 ] 实证是不是走的"该模式已在…落地"转述，不冒充自有案例？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 ] 器械资质有没有注明"注册人为鹤灵"？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 ] 有没有印价格？（对外物料一律不印）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 ] 有没有出现"上门""健康管理""行为干预"？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 ] 科室是不是写的神经内科（未窄化成康复科）？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待确认项（出稿当轮一并摆上台面）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事项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需谁定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36个任务清单（任务名+认知域归属+能力）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鹤灵（sandy 上班后索取）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评估环节是否单列必购项（截图顶部"必购/共2次/600"）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sandy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档②③差额归属口径（代理商服务费/院方分成？）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sandy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联系方式（商务手机/企微/统一客服）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sandy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宋鲁平背书尺度（是否需鹤灵同意）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sandy</w:t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文档结束 · v1.0 · 2026-10-07 · 内部资料（对外物料出稿前必过）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