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25" w:lineRule="atLeast"/>
        <w:ind w:left="0" w:right="0" w:firstLine="0"/>
        <w:jc w:val="left"/>
        <w:rPr>
          <w:rFonts w:hint="eastAsia" w:ascii="宋体" w:hAnsi="宋体" w:eastAsia="宋体" w:cs="宋体"/>
          <w:i w:val="0"/>
          <w:iCs w:val="0"/>
          <w:caps w:val="0"/>
          <w:color w:val="707070"/>
          <w:spacing w:val="0"/>
          <w:sz w:val="21"/>
          <w:szCs w:val="21"/>
        </w:rPr>
      </w:pPr>
      <w:r>
        <w:rPr>
          <w:rFonts w:hint="eastAsia" w:ascii="宋体" w:hAnsi="宋体" w:eastAsia="宋体" w:cs="宋体"/>
          <w:b/>
          <w:bCs/>
          <w:i w:val="0"/>
          <w:iCs w:val="0"/>
          <w:caps w:val="0"/>
          <w:color w:val="000000"/>
          <w:spacing w:val="0"/>
          <w:kern w:val="0"/>
          <w:sz w:val="21"/>
          <w:szCs w:val="21"/>
          <w:u w:val="none"/>
          <w:bdr w:val="none" w:color="auto" w:sz="0" w:space="0"/>
          <w:lang w:val="en-US" w:eastAsia="zh-CN" w:bidi="ar"/>
        </w:rPr>
        <w:fldChar w:fldCharType="begin"/>
      </w:r>
      <w:r>
        <w:rPr>
          <w:rFonts w:hint="eastAsia" w:ascii="宋体" w:hAnsi="宋体" w:eastAsia="宋体" w:cs="宋体"/>
          <w:b/>
          <w:bCs/>
          <w:i w:val="0"/>
          <w:iCs w:val="0"/>
          <w:caps w:val="0"/>
          <w:color w:val="000000"/>
          <w:spacing w:val="0"/>
          <w:kern w:val="0"/>
          <w:sz w:val="21"/>
          <w:szCs w:val="21"/>
          <w:u w:val="none"/>
          <w:bdr w:val="none" w:color="auto" w:sz="0" w:space="0"/>
          <w:lang w:val="en-US" w:eastAsia="zh-CN" w:bidi="ar"/>
        </w:rPr>
        <w:instrText xml:space="preserve"> HYPERLINK "https://www.gov.cn/" \o "首页" \t "https://www.gov.cn/zhengce/zhengceku/2021-06/17/_blank" </w:instrText>
      </w:r>
      <w:r>
        <w:rPr>
          <w:rFonts w:hint="eastAsia" w:ascii="宋体" w:hAnsi="宋体" w:eastAsia="宋体" w:cs="宋体"/>
          <w:b/>
          <w:bCs/>
          <w:i w:val="0"/>
          <w:iCs w:val="0"/>
          <w:caps w:val="0"/>
          <w:color w:val="000000"/>
          <w:spacing w:val="0"/>
          <w:kern w:val="0"/>
          <w:sz w:val="21"/>
          <w:szCs w:val="21"/>
          <w:u w:val="none"/>
          <w:bdr w:val="none" w:color="auto" w:sz="0" w:space="0"/>
          <w:lang w:val="en-US" w:eastAsia="zh-CN" w:bidi="ar"/>
        </w:rPr>
        <w:fldChar w:fldCharType="separate"/>
      </w:r>
      <w:r>
        <w:rPr>
          <w:rStyle w:val="5"/>
          <w:rFonts w:hint="eastAsia" w:ascii="宋体" w:hAnsi="宋体" w:eastAsia="宋体" w:cs="宋体"/>
          <w:b/>
          <w:bCs/>
          <w:i w:val="0"/>
          <w:iCs w:val="0"/>
          <w:caps w:val="0"/>
          <w:color w:val="000000"/>
          <w:spacing w:val="0"/>
          <w:sz w:val="21"/>
          <w:szCs w:val="21"/>
          <w:u w:val="none"/>
          <w:bdr w:val="none" w:color="auto" w:sz="0" w:space="0"/>
        </w:rPr>
        <w:t>首页</w:t>
      </w:r>
      <w:r>
        <w:rPr>
          <w:rFonts w:hint="eastAsia" w:ascii="宋体" w:hAnsi="宋体" w:eastAsia="宋体" w:cs="宋体"/>
          <w:b/>
          <w:bCs/>
          <w:i w:val="0"/>
          <w:iCs w:val="0"/>
          <w:caps w:val="0"/>
          <w:color w:val="000000"/>
          <w:spacing w:val="0"/>
          <w:kern w:val="0"/>
          <w:sz w:val="21"/>
          <w:szCs w:val="21"/>
          <w:u w:val="none"/>
          <w:bdr w:val="none" w:color="auto" w:sz="0" w:space="0"/>
          <w:lang w:val="en-US" w:eastAsia="zh-CN" w:bidi="ar"/>
        </w:rPr>
        <w:fldChar w:fldCharType="end"/>
      </w:r>
      <w:r>
        <w:rPr>
          <w:rFonts w:hint="eastAsia" w:ascii="宋体" w:hAnsi="宋体" w:eastAsia="宋体" w:cs="宋体"/>
          <w:i w:val="0"/>
          <w:iCs w:val="0"/>
          <w:caps w:val="0"/>
          <w:color w:val="707070"/>
          <w:spacing w:val="0"/>
          <w:kern w:val="0"/>
          <w:sz w:val="21"/>
          <w:szCs w:val="21"/>
          <w:bdr w:val="none" w:color="auto" w:sz="0" w:space="0"/>
          <w:lang w:val="en-US" w:eastAsia="zh-CN" w:bidi="ar"/>
        </w:rPr>
        <w:t> &gt; </w:t>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fldChar w:fldCharType="begin"/>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instrText xml:space="preserve"> HYPERLINK "https://www.gov.cn/zc/" \o "政策" \t "https://www.gov.cn/zhengce/zhengceku/2021-06/17/_blank" </w:instrText>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fldChar w:fldCharType="separate"/>
      </w:r>
      <w:r>
        <w:rPr>
          <w:rStyle w:val="5"/>
          <w:rFonts w:hint="eastAsia" w:ascii="宋体" w:hAnsi="宋体" w:eastAsia="宋体" w:cs="宋体"/>
          <w:i w:val="0"/>
          <w:iCs w:val="0"/>
          <w:caps w:val="0"/>
          <w:color w:val="000000"/>
          <w:spacing w:val="0"/>
          <w:sz w:val="21"/>
          <w:szCs w:val="21"/>
          <w:u w:val="none"/>
          <w:bdr w:val="none" w:color="auto" w:sz="0" w:space="0"/>
        </w:rPr>
        <w:t>政策</w:t>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fldChar w:fldCharType="end"/>
      </w:r>
      <w:r>
        <w:rPr>
          <w:rFonts w:hint="eastAsia" w:ascii="宋体" w:hAnsi="宋体" w:eastAsia="宋体" w:cs="宋体"/>
          <w:i w:val="0"/>
          <w:iCs w:val="0"/>
          <w:caps w:val="0"/>
          <w:color w:val="707070"/>
          <w:spacing w:val="0"/>
          <w:kern w:val="0"/>
          <w:sz w:val="21"/>
          <w:szCs w:val="21"/>
          <w:bdr w:val="none" w:color="auto" w:sz="0" w:space="0"/>
          <w:lang w:val="en-US" w:eastAsia="zh-CN" w:bidi="ar"/>
        </w:rPr>
        <w:t> &gt; </w:t>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fldChar w:fldCharType="begin"/>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instrText xml:space="preserve"> HYPERLINK "https://www.gov.cn/zhengce/zhengcewenjianku/" \o "国务院政策文件库" \t "https://www.gov.cn/zhengce/zhengceku/2021-06/17/_blank" </w:instrText>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fldChar w:fldCharType="separate"/>
      </w:r>
      <w:r>
        <w:rPr>
          <w:rStyle w:val="5"/>
          <w:rFonts w:hint="eastAsia" w:ascii="宋体" w:hAnsi="宋体" w:eastAsia="宋体" w:cs="宋体"/>
          <w:i w:val="0"/>
          <w:iCs w:val="0"/>
          <w:caps w:val="0"/>
          <w:color w:val="000000"/>
          <w:spacing w:val="0"/>
          <w:sz w:val="21"/>
          <w:szCs w:val="21"/>
          <w:u w:val="none"/>
          <w:bdr w:val="none" w:color="auto" w:sz="0" w:space="0"/>
        </w:rPr>
        <w:t>国务院政策文件库</w:t>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fldChar w:fldCharType="end"/>
      </w:r>
      <w:r>
        <w:rPr>
          <w:rFonts w:hint="eastAsia" w:ascii="宋体" w:hAnsi="宋体" w:eastAsia="宋体" w:cs="宋体"/>
          <w:i w:val="0"/>
          <w:iCs w:val="0"/>
          <w:caps w:val="0"/>
          <w:color w:val="707070"/>
          <w:spacing w:val="0"/>
          <w:kern w:val="0"/>
          <w:sz w:val="21"/>
          <w:szCs w:val="21"/>
          <w:bdr w:val="none" w:color="auto" w:sz="0" w:space="0"/>
          <w:lang w:val="en-US" w:eastAsia="zh-CN" w:bidi="ar"/>
        </w:rPr>
        <w:t> &gt; </w:t>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fldChar w:fldCharType="begin"/>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instrText xml:space="preserve"> HYPERLINK "https://www.gov.cn/zhengce/zhengceku/bmwj/" \o "国务院部门文件" \t "https://www.gov.cn/zhengce/zhengceku/2021-06/17/_blank" </w:instrText>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fldChar w:fldCharType="separate"/>
      </w:r>
      <w:r>
        <w:rPr>
          <w:rStyle w:val="5"/>
          <w:rFonts w:hint="eastAsia" w:ascii="宋体" w:hAnsi="宋体" w:eastAsia="宋体" w:cs="宋体"/>
          <w:i w:val="0"/>
          <w:iCs w:val="0"/>
          <w:caps w:val="0"/>
          <w:color w:val="000000"/>
          <w:spacing w:val="0"/>
          <w:sz w:val="21"/>
          <w:szCs w:val="21"/>
          <w:u w:val="none"/>
          <w:bdr w:val="none" w:color="auto" w:sz="0" w:space="0"/>
        </w:rPr>
        <w:t>国务院部门文件</w:t>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25" w:lineRule="atLeast"/>
        <w:ind w:left="0" w:right="0" w:firstLine="0"/>
        <w:jc w:val="center"/>
        <w:rPr>
          <w:rFonts w:hint="eastAsia" w:ascii="宋体" w:hAnsi="宋体" w:eastAsia="宋体" w:cs="宋体"/>
          <w:i w:val="0"/>
          <w:iCs w:val="0"/>
          <w:caps w:val="0"/>
          <w:color w:val="6F6F6F"/>
          <w:spacing w:val="0"/>
          <w:sz w:val="21"/>
          <w:szCs w:val="21"/>
        </w:rPr>
      </w:pPr>
      <w:r>
        <w:rPr>
          <w:rFonts w:hint="eastAsia" w:ascii="宋体" w:hAnsi="宋体" w:eastAsia="宋体" w:cs="宋体"/>
          <w:i w:val="0"/>
          <w:iCs w:val="0"/>
          <w:caps w:val="0"/>
          <w:color w:val="707070"/>
          <w:spacing w:val="0"/>
          <w:kern w:val="0"/>
          <w:sz w:val="21"/>
          <w:szCs w:val="21"/>
          <w:bdr w:val="none" w:color="auto" w:sz="0" w:space="0"/>
          <w:lang w:val="en-US" w:eastAsia="zh-CN" w:bidi="ar"/>
        </w:rPr>
        <w:t>字号：</w:t>
      </w:r>
      <w:r>
        <w:rPr>
          <w:rFonts w:hint="eastAsia" w:ascii="宋体" w:hAnsi="宋体" w:eastAsia="宋体" w:cs="宋体"/>
          <w:b/>
          <w:bCs/>
          <w:i w:val="0"/>
          <w:iCs w:val="0"/>
          <w:caps w:val="0"/>
          <w:color w:val="015293"/>
          <w:spacing w:val="0"/>
          <w:kern w:val="0"/>
          <w:sz w:val="21"/>
          <w:szCs w:val="21"/>
          <w:bdr w:val="none" w:color="auto" w:sz="0" w:space="0"/>
          <w:lang w:val="en-US" w:eastAsia="zh-CN" w:bidi="ar"/>
        </w:rPr>
        <w:t>默认</w:t>
      </w:r>
      <w:r>
        <w:rPr>
          <w:rFonts w:hint="eastAsia" w:ascii="宋体" w:hAnsi="宋体" w:eastAsia="宋体" w:cs="宋体"/>
          <w:i w:val="0"/>
          <w:iCs w:val="0"/>
          <w:caps w:val="0"/>
          <w:color w:val="707070"/>
          <w:spacing w:val="0"/>
          <w:kern w:val="0"/>
          <w:sz w:val="21"/>
          <w:szCs w:val="21"/>
          <w:bdr w:val="none" w:color="auto" w:sz="0" w:space="0"/>
          <w:lang w:val="en-US" w:eastAsia="zh-CN" w:bidi="ar"/>
        </w:rPr>
        <w:t> 大 超大|</w:t>
      </w:r>
      <w:r>
        <w:rPr>
          <w:rFonts w:hint="eastAsia" w:ascii="宋体" w:hAnsi="宋体" w:eastAsia="宋体" w:cs="宋体"/>
          <w:i w:val="0"/>
          <w:iCs w:val="0"/>
          <w:caps w:val="0"/>
          <w:color w:val="898989"/>
          <w:spacing w:val="0"/>
          <w:kern w:val="0"/>
          <w:sz w:val="21"/>
          <w:szCs w:val="21"/>
          <w:bdr w:val="none" w:color="auto" w:sz="0" w:space="0"/>
          <w:lang w:val="en-US" w:eastAsia="zh-CN" w:bidi="ar"/>
        </w:rPr>
        <w:t>打印</w:t>
      </w:r>
    </w:p>
    <w:p>
      <w:pPr>
        <w:keepNext w:val="0"/>
        <w:keepLines w:val="0"/>
        <w:widowControl/>
        <w:suppressLineNumbers w:val="0"/>
        <w:spacing w:before="0" w:beforeAutospacing="0" w:after="0" w:afterAutospacing="0"/>
        <w:ind w:left="0" w:right="0"/>
        <w:jc w:val="left"/>
      </w:pPr>
      <w:r>
        <w:rPr>
          <w:rFonts w:hint="eastAsia" w:ascii="宋体" w:hAnsi="宋体" w:eastAsia="宋体" w:cs="宋体"/>
          <w:i w:val="0"/>
          <w:iCs w:val="0"/>
          <w:caps w:val="0"/>
          <w:color w:val="707070"/>
          <w:spacing w:val="0"/>
          <w:kern w:val="0"/>
          <w:sz w:val="21"/>
          <w:szCs w:val="21"/>
          <w:bdr w:val="none" w:color="auto" w:sz="0" w:space="0"/>
          <w:lang w:val="en-US" w:eastAsia="zh-CN" w:bidi="ar"/>
        </w:rPr>
        <w:t>|</w:t>
      </w:r>
    </w:p>
    <w:tbl>
      <w:tblPr>
        <w:tblStyle w:val="3"/>
        <w:tblpPr w:leftFromText="180" w:rightFromText="180" w:vertAnchor="text" w:horzAnchor="page" w:tblpX="1802" w:tblpY="185"/>
        <w:tblOverlap w:val="never"/>
        <w:tblW w:w="89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0"/>
        <w:gridCol w:w="3474"/>
        <w:gridCol w:w="1330"/>
        <w:gridCol w:w="30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0" w:hRule="atLeast"/>
        </w:trPr>
        <w:tc>
          <w:tcPr>
            <w:tcW w:w="1050"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标  题：</w:t>
            </w:r>
          </w:p>
        </w:tc>
        <w:tc>
          <w:tcPr>
            <w:tcW w:w="3474"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关于印发加快推进康复医疗工作发展意见的通知</w:t>
            </w:r>
          </w:p>
        </w:tc>
        <w:tc>
          <w:tcPr>
            <w:tcW w:w="1330"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发文机关：</w:t>
            </w:r>
          </w:p>
        </w:tc>
        <w:tc>
          <w:tcPr>
            <w:tcW w:w="3083"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卫生健康委 发展改革委 教育部 民政局 财政局 医保局 中医药局 中国残联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1" w:hRule="atLeast"/>
        </w:trPr>
        <w:tc>
          <w:tcPr>
            <w:tcW w:w="1050"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发文字号：</w:t>
            </w:r>
          </w:p>
        </w:tc>
        <w:tc>
          <w:tcPr>
            <w:tcW w:w="3474"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国卫医发〔2021〕19号</w:t>
            </w:r>
          </w:p>
        </w:tc>
        <w:tc>
          <w:tcPr>
            <w:tcW w:w="1330"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来  源：</w:t>
            </w:r>
          </w:p>
        </w:tc>
        <w:tc>
          <w:tcPr>
            <w:tcW w:w="3083"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卫生健康委网站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4" w:hRule="atLeast"/>
        </w:trPr>
        <w:tc>
          <w:tcPr>
            <w:tcW w:w="1050"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主题分类：</w:t>
            </w:r>
          </w:p>
        </w:tc>
        <w:tc>
          <w:tcPr>
            <w:tcW w:w="3474"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卫生、体育\医药管理</w:t>
            </w:r>
          </w:p>
        </w:tc>
        <w:tc>
          <w:tcPr>
            <w:tcW w:w="1330"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公文种类：</w:t>
            </w:r>
          </w:p>
        </w:tc>
        <w:tc>
          <w:tcPr>
            <w:tcW w:w="3083" w:type="dxa"/>
            <w:tcBorders>
              <w:top w:val="nil"/>
              <w:left w:val="nil"/>
              <w:bottom w:val="dashed" w:color="A4A4A4" w:sz="6" w:space="0"/>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通知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9" w:hRule="atLeast"/>
        </w:trPr>
        <w:tc>
          <w:tcPr>
            <w:tcW w:w="1050" w:type="dxa"/>
            <w:tcBorders>
              <w:top w:val="nil"/>
              <w:left w:val="nil"/>
              <w:bottom w:val="nil"/>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成文日期：</w:t>
            </w:r>
          </w:p>
        </w:tc>
        <w:tc>
          <w:tcPr>
            <w:tcW w:w="3474" w:type="dxa"/>
            <w:tcBorders>
              <w:top w:val="nil"/>
              <w:left w:val="nil"/>
              <w:bottom w:val="nil"/>
              <w:right w:val="nil"/>
            </w:tcBorders>
            <w:shd w:val="clear" w:color="auto" w:fill="auto"/>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lang w:val="en-US" w:eastAsia="zh-CN" w:bidi="ar"/>
              </w:rPr>
              <w:t>2021年06月08日</w:t>
            </w:r>
          </w:p>
        </w:tc>
        <w:tc>
          <w:tcPr>
            <w:tcW w:w="1330" w:type="dxa"/>
            <w:tcBorders>
              <w:top w:val="nil"/>
              <w:left w:val="nil"/>
              <w:bottom w:val="nil"/>
              <w:right w:val="nil"/>
            </w:tcBorders>
            <w:shd w:val="clear" w:color="auto" w:fill="auto"/>
            <w:vAlign w:val="center"/>
          </w:tcPr>
          <w:p>
            <w:pPr>
              <w:rPr>
                <w:rFonts w:hint="eastAsia" w:ascii="宋体"/>
                <w:sz w:val="24"/>
                <w:szCs w:val="24"/>
              </w:rPr>
            </w:pPr>
          </w:p>
        </w:tc>
        <w:tc>
          <w:tcPr>
            <w:tcW w:w="3083" w:type="dxa"/>
            <w:tcBorders>
              <w:top w:val="nil"/>
              <w:left w:val="nil"/>
              <w:bottom w:val="nil"/>
              <w:right w:val="nil"/>
            </w:tcBorders>
            <w:shd w:val="clear" w:color="auto" w:fill="auto"/>
            <w:vAlign w:val="center"/>
          </w:tcPr>
          <w:p>
            <w:pPr>
              <w:rPr>
                <w:rFonts w:hint="eastAsia" w:ascii="宋体"/>
                <w:sz w:val="24"/>
                <w:szCs w:val="24"/>
              </w:rPr>
            </w:pPr>
          </w:p>
        </w:tc>
      </w:tr>
    </w:tbl>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25" w:lineRule="atLeast"/>
        <w:ind w:left="0" w:right="0" w:firstLine="0"/>
        <w:jc w:val="center"/>
        <w:rPr>
          <w:rFonts w:hint="eastAsia" w:ascii="宋体" w:hAnsi="宋体" w:eastAsia="宋体" w:cs="宋体"/>
          <w:i w:val="0"/>
          <w:iCs w:val="0"/>
          <w:caps w:val="0"/>
          <w:color w:val="898989"/>
          <w:spacing w:val="0"/>
          <w:sz w:val="21"/>
          <w:szCs w:val="21"/>
          <w:u w:val="none"/>
        </w:rPr>
      </w:pPr>
      <w:r>
        <w:rPr>
          <w:rFonts w:hint="eastAsia" w:ascii="宋体" w:hAnsi="宋体" w:eastAsia="宋体" w:cs="宋体"/>
          <w:b/>
          <w:bCs/>
          <w:i w:val="0"/>
          <w:iCs w:val="0"/>
          <w:caps w:val="0"/>
          <w:color w:val="000000"/>
          <w:spacing w:val="0"/>
          <w:kern w:val="0"/>
          <w:sz w:val="21"/>
          <w:szCs w:val="21"/>
          <w:u w:val="none"/>
          <w:bdr w:val="none" w:color="auto" w:sz="0" w:space="0"/>
          <w:lang w:val="en-US" w:eastAsia="zh-CN" w:bidi="ar"/>
        </w:rPr>
        <w:t> </w:t>
      </w:r>
      <w:r>
        <w:rPr>
          <w:rFonts w:hint="eastAsia" w:ascii="宋体" w:hAnsi="宋体" w:eastAsia="宋体" w:cs="宋体"/>
          <w:i w:val="0"/>
          <w:iCs w:val="0"/>
          <w:caps w:val="0"/>
          <w:color w:val="898989"/>
          <w:spacing w:val="0"/>
          <w:kern w:val="0"/>
          <w:sz w:val="21"/>
          <w:szCs w:val="21"/>
          <w:u w:val="none"/>
          <w:bdr w:val="none" w:color="auto" w:sz="0" w:space="0"/>
          <w:lang w:val="en-US" w:eastAsia="zh-CN" w:bidi="ar"/>
        </w:rPr>
        <w:t> </w:t>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t> </w:t>
      </w:r>
      <w:r>
        <w:rPr>
          <w:rFonts w:hint="eastAsia" w:ascii="宋体" w:hAnsi="宋体" w:eastAsia="宋体" w:cs="宋体"/>
          <w:i w:val="0"/>
          <w:iCs w:val="0"/>
          <w:caps w:val="0"/>
          <w:color w:val="898989"/>
          <w:spacing w:val="0"/>
          <w:kern w:val="0"/>
          <w:sz w:val="21"/>
          <w:szCs w:val="21"/>
          <w:u w:val="none"/>
          <w:bdr w:val="none" w:color="auto" w:sz="0" w:space="0"/>
          <w:lang w:val="en-US" w:eastAsia="zh-CN" w:bidi="ar"/>
        </w:rPr>
        <w:t> </w:t>
      </w:r>
      <w:r>
        <w:rPr>
          <w:rFonts w:hint="eastAsia" w:ascii="宋体" w:hAnsi="宋体" w:eastAsia="宋体" w:cs="宋体"/>
          <w:i w:val="0"/>
          <w:iCs w:val="0"/>
          <w:caps w:val="0"/>
          <w:color w:val="000000"/>
          <w:spacing w:val="0"/>
          <w:kern w:val="0"/>
          <w:sz w:val="21"/>
          <w:szCs w:val="21"/>
          <w:u w:val="none"/>
          <w:bdr w:val="none" w:color="auto" w:sz="0" w:space="0"/>
          <w:lang w:val="en-US" w:eastAsia="zh-CN" w:bidi="ar"/>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jc w:val="center"/>
        <w:rPr>
          <w:sz w:val="24"/>
          <w:szCs w:val="24"/>
        </w:rPr>
      </w:pPr>
      <w:bookmarkStart w:id="0" w:name="_GoBack"/>
      <w:r>
        <w:rPr>
          <w:rFonts w:hint="eastAsia" w:ascii="宋体" w:hAnsi="宋体" w:eastAsia="宋体" w:cs="宋体"/>
          <w:b/>
          <w:bCs/>
          <w:i w:val="0"/>
          <w:iCs w:val="0"/>
          <w:caps w:val="0"/>
          <w:color w:val="333333"/>
          <w:spacing w:val="0"/>
          <w:sz w:val="36"/>
          <w:szCs w:val="36"/>
          <w:bdr w:val="none" w:color="auto" w:sz="0" w:space="0"/>
        </w:rPr>
        <w:t>关于印发加快推进康复医疗工作发展意见的通知</w:t>
      </w:r>
      <w:r>
        <w:rPr>
          <w:rFonts w:hint="eastAsia" w:ascii="宋体" w:hAnsi="宋体" w:eastAsia="宋体" w:cs="宋体"/>
          <w:i w:val="0"/>
          <w:iCs w:val="0"/>
          <w:caps w:val="0"/>
          <w:color w:val="333333"/>
          <w:spacing w:val="0"/>
          <w:sz w:val="24"/>
          <w:szCs w:val="24"/>
          <w:bdr w:val="none" w:color="auto" w:sz="0" w:space="0"/>
        </w:rPr>
        <w:br w:type="textWrapping"/>
      </w:r>
      <w:r>
        <w:rPr>
          <w:rFonts w:ascii="楷体" w:hAnsi="楷体" w:eastAsia="楷体" w:cs="楷体"/>
          <w:i w:val="0"/>
          <w:iCs w:val="0"/>
          <w:caps w:val="0"/>
          <w:color w:val="333333"/>
          <w:spacing w:val="0"/>
          <w:sz w:val="24"/>
          <w:szCs w:val="24"/>
          <w:bdr w:val="none" w:color="auto" w:sz="0" w:space="0"/>
        </w:rPr>
        <w:t>国卫医发〔2021〕19号</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各省、自治区、直辖市及新疆生产建设兵团卫生健康委、发展改革委、教育厅（局）、民政厅（局）、财政厅（局）、医疗保障局、中医药局、残联：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为贯彻落实党的十九届五中全会精神和实施健康中国、积极应对人口老龄化的国家战略，进一步加强康复医疗服务体系建设，加快推动康复医疗服务高质量发展，逐步满足群众多样化、差异化的康复医疗服务需求，国家卫生健康委、国家发展改革委、教育部、民政部、财政部、国家医保局、国家中医药管理局、中国残联制定了《关于加快推进康复医疗工作发展的意见》。现印发给你们，请认真贯彻落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jc w:val="righ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国家卫生健康委</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国家发展改革委</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教育部</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民政部</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财政部</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国家医保局</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国家中医药局</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中国残联</w:t>
      </w:r>
      <w:r>
        <w:rPr>
          <w:rFonts w:hint="eastAsia" w:ascii="宋体" w:hAnsi="宋体" w:eastAsia="宋体" w:cs="宋体"/>
          <w:i w:val="0"/>
          <w:iCs w:val="0"/>
          <w:caps w:val="0"/>
          <w:color w:val="333333"/>
          <w:spacing w:val="0"/>
          <w:sz w:val="24"/>
          <w:szCs w:val="24"/>
          <w:bdr w:val="none" w:color="auto" w:sz="0" w:space="0"/>
        </w:rPr>
        <w:br w:type="textWrapping"/>
      </w:r>
      <w:r>
        <w:rPr>
          <w:rFonts w:hint="eastAsia" w:ascii="宋体" w:hAnsi="宋体" w:eastAsia="宋体" w:cs="宋体"/>
          <w:i w:val="0"/>
          <w:iCs w:val="0"/>
          <w:caps w:val="0"/>
          <w:color w:val="333333"/>
          <w:spacing w:val="0"/>
          <w:sz w:val="24"/>
          <w:szCs w:val="24"/>
          <w:bdr w:val="none" w:color="auto" w:sz="0" w:space="0"/>
        </w:rPr>
        <w:t>2021年6月8日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jc w:val="center"/>
        <w:rPr>
          <w:rFonts w:hint="eastAsia" w:ascii="宋体" w:hAnsi="宋体" w:eastAsia="宋体" w:cs="宋体"/>
          <w:sz w:val="24"/>
          <w:szCs w:val="24"/>
        </w:rPr>
      </w:pPr>
      <w:r>
        <w:rPr>
          <w:rFonts w:hint="eastAsia" w:ascii="宋体" w:hAnsi="宋体" w:eastAsia="宋体" w:cs="宋体"/>
          <w:b/>
          <w:bCs/>
          <w:i w:val="0"/>
          <w:iCs w:val="0"/>
          <w:caps w:val="0"/>
          <w:color w:val="333333"/>
          <w:spacing w:val="0"/>
          <w:sz w:val="36"/>
          <w:szCs w:val="36"/>
          <w:bdr w:val="none" w:color="auto" w:sz="0" w:space="0"/>
        </w:rPr>
        <w:t>关于加快推进康复医疗工作发展的意见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康复医疗工作是卫生健康事业的重要组成部分。加快推进康复医疗工作发展对全面推进健康中国建设、实施积极应对人口老龄化国家战略，保障和改善民生具有重要意义。为贯彻落实党中央、国务院重要决策部署，增加康复医疗服务供给，提高应对重大突发公共卫生事件的康复医疗服务能力，现就加快推进康复医疗工作发展提出以下意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b/>
          <w:bCs/>
          <w:i w:val="0"/>
          <w:iCs w:val="0"/>
          <w:caps w:val="0"/>
          <w:color w:val="333333"/>
          <w:spacing w:val="0"/>
          <w:sz w:val="24"/>
          <w:szCs w:val="24"/>
          <w:bdr w:val="none" w:color="auto" w:sz="0" w:space="0"/>
        </w:rPr>
        <w:t>一、总体要求和主要目标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一）总体要求。全面贯彻落实党的十九届五中全会精神和实施健康中国、积极应对人口老龄化的国家战略，以人民健康为中心，以社会需求为导向，健全完善康复医疗服务体系，加强康复医疗专业队伍建设，提高康复医疗服务能力，推进康复医疗领域改革创新，推动康复医疗服务高质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二）主要目标。力争到2022年，逐步建立一支数量合理、素质优良的康复医疗专业队伍，每10万人口康复医师达到6人、康复治疗师达到10人。到2025年，每10万人口康复医师达到8人、康复治疗师达到12人。康复医疗服务能力稳步提升，服务方式更加多元化，康复医疗服务领域不断拓展，人民群众享有全方位全周期的康复医疗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b/>
          <w:bCs/>
          <w:i w:val="0"/>
          <w:iCs w:val="0"/>
          <w:caps w:val="0"/>
          <w:color w:val="333333"/>
          <w:spacing w:val="0"/>
          <w:sz w:val="24"/>
          <w:szCs w:val="24"/>
          <w:bdr w:val="none" w:color="auto" w:sz="0" w:space="0"/>
        </w:rPr>
        <w:t>二、健全完善康复医疗服务体系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三）增加提供康复医疗服务的医疗机构和床位数量。各地卫生健康行政部门（含中医药主管部门，下同）要按照分级诊疗工作和医疗卫生服务体系规划要求，结合本地区康复医疗需求等，健全完善覆盖全人群和全生命周期的康复医疗服务体系。推动医疗资源丰富地区的部分一级、二级医院转型为康复医院。支持和引导社会力量举办规模化、连锁化的康复医疗中心，增加辖区内提供康复医疗服务的医疗机构数量。鼓励有条件的基层医疗机构根据需要设置和增加提供康复医疗服务的床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四）加强康复医院和综合医院康复医学科建设。各地要按照国家印发的康复医院、综合医院康复医学科和中医医院康复科的基本标准和建设管理规范等，加强软硬件建设。鼓励各地将增加康复医疗服务资源供给纳入“十四五”卫生健康服务体系建设，重点支持地市级康复医院、县级综合医院康复医学科建设。要科学统筹区域内公立医疗机构和社会办医资源，合理增加康复医院数量。原则上，每个省会城市、常住人口超过300万的地级市至少设置1所二级及以上康复医院；常住人口超过30万的县至少有1所县级公立医院设置康复医学科；常住人口30万以下的县至少有1所县级公立医院设置康复医学科门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五）加强县级医院和基层医疗机构康复医疗能力建设。结合国家加强县级医院综合服务能力建设的有关要求，鼓励各地结合实际将康复医疗服务作为补短板强弱项的重点领域予以加强，切实提升县级医院康复医疗服务水平。依托开展社区医院建设和持续提升基层医疗服务能力的工作平台，支持有条件的基层医疗机构开设康复医疗门诊,为群众提供便捷、专业的康复医疗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六）完善康复医疗服务网络。借助城市医疗集团、县域医共体、专科联盟、远程医疗等多种形式，建立不同医疗机构之间定位明确、分工协作、上下联动的康复医疗服务网络。医疗机构要按照分级诊疗要求，结合功能定位按需分类提供康复医疗服务。三级综合医院康复医学科、三级中医医院康复科和三级康复医院重点为急危重症和疑难复杂疾病患者提供康复医疗服务。公立三级医院要承担辖区内康复医疗学科建设、人才培训、技术支持、研究成果推广等任务，发挥帮扶和带动作用，鼓励社会力量举办的三级医院积极参与。二级综合医院康复医学科、二级中医医院康复科、二级康复医院、康复医疗中心、基层医疗机构等重点为诊断明确、病情稳定或者需要长期康复的患者提供康复医疗服务。以基层医疗机构为依托，鼓励积极开展社区和居家康复医疗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b/>
          <w:bCs/>
          <w:i w:val="0"/>
          <w:iCs w:val="0"/>
          <w:caps w:val="0"/>
          <w:color w:val="333333"/>
          <w:spacing w:val="0"/>
          <w:sz w:val="24"/>
          <w:szCs w:val="24"/>
          <w:bdr w:val="none" w:color="auto" w:sz="0" w:space="0"/>
        </w:rPr>
        <w:t>三、加强康复医疗人才培养和队伍建设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七）加强康复医疗人才教育培养。有条件的院校要积极设置康复治疗学和康复工程学等紧缺专业，并根据实际设置康复物理治疗学、康复作业治疗学、听力与言语康复学等专业，增加康复治疗专业人才培养供给，注重提升临床实践能力。鼓励在临床医学专业教育中加强医学生康复医学相关知识和能力的培养，普及康复医学专业知识。持续推进康复医学科住院医师规范化培训，探索开展康复医学科医师转岗培训，增加从事康复医疗工作的医师数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八）强化康复医疗专业人员岗位培训。逐步建立以需求为导向，以岗位胜任力为核心的康复医疗专业人员培训机制。根据医疗机构功能定位和康复医疗临床需求，有计划、分层次地对医疗机构中正在从事和拟从事康复医疗工作的人员开展培训，提升康复医疗服务能力。加强对全体医务人员康复医疗基本知识的培训，增强康复医疗早介入、全过程的意识，将康复理念贯穿于疾病预防、诊疗、康复等全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九）加强突发应急状态下康复医疗队伍储备。各地要依托有条件、能力强的综合医院康复医学科、中医医院康复科和康复医院组建或储备康复医疗专家库，建立一支素质优良、专业过硬、调动及时的应对重大疫情、灾害等突发公共卫生事件康复医疗专业队伍，强化人员、物资储备和应急演练，切实提升突发应急状态下的康复医疗服务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b/>
          <w:bCs/>
          <w:i w:val="0"/>
          <w:iCs w:val="0"/>
          <w:caps w:val="0"/>
          <w:color w:val="333333"/>
          <w:spacing w:val="0"/>
          <w:sz w:val="24"/>
          <w:szCs w:val="24"/>
          <w:bdr w:val="none" w:color="auto" w:sz="0" w:space="0"/>
        </w:rPr>
        <w:t>四、提高康复医疗服务能力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十）完善康复医疗工作制度、服务指南和技术规范。结合康复医疗专业特点和临床需求发展，制（修）订完善医疗机构康复医疗工作制度、康复医疗服务指南和技术规范等，特别是重大疾病、新发传染性疾病的康复技术指南等，规范临床康复医疗服务行为，提高康复医疗服务的专业性和规范性，进一步增进医疗效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十一）加强康复医疗能力建设。以提升康复医疗服务能力为核心，重点加强三级综合医院康复医学科、三级中医医院康复科和三级康复医院的康复早期介入、多学科合作、疑难危重症患者康复医疗服务能力。根据不同人群的疾病特点和康复医疗服务迫切需求，积极推动神经康复、骨科康复、心肺康复、肿瘤康复、儿童康复、老年康复、疼痛康复、重症康复、中医康复、心理康复等康复医学亚专科建设，开展亚专科细化的康复评定、康复治疗、康复指导和康复随访等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十二）提高基层康复医疗能力。通过医联体、对口支援、远程培训等方式，发挥优质康复医疗资源辐射和带动作用，提高康复医疗中心和社区卫生服务中心、乡镇卫生院等基层医疗机构康复医疗服务能力和水平。鼓励医联体内有条件的二级以上医院通过建立康复医疗联合团队、一对一帮带、选派康复专家定期下沉基层医疗机构出诊、查房、培训等，帮扶基层医疗机构提升康复医疗能力。同时，要加强对全科医生、家庭医生签约团队的培训，提高其康复医疗服务能力。支持有条件的医疗机构与残疾人专业康复机构、儿童福利机构等加强合作，提高其康复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十三）提升中医康复服务能力。落实《关于印发中医药康复服务能力提升工程实施方案（2021-2025年）的通知》，充分发挥中医药在疾病康复中的重要作用。鼓励有条件的医疗机构积极提供中医药康复服务。加强中医药康复服务机构建设和管理，强化中医药康复专业人才培养和队伍建设，开展中医康复方案和技术规范研究，积极发展中医特色康复服务，增加基层中医康复服务供给，切实提升中医药康复服务能力和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b/>
          <w:bCs/>
          <w:i w:val="0"/>
          <w:iCs w:val="0"/>
          <w:caps w:val="0"/>
          <w:color w:val="333333"/>
          <w:spacing w:val="0"/>
          <w:sz w:val="24"/>
          <w:szCs w:val="24"/>
          <w:bdr w:val="none" w:color="auto" w:sz="0" w:space="0"/>
        </w:rPr>
        <w:t>五、创新康复医疗服务模式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十四）逐步推进康复与临床多学科合作模式。鼓励有条件的医疗机构创新开展康复医疗与外科、神经科、骨科、心血管、呼吸、重症、中医等临床相关学科紧密合作模式。以患者为中心，强化康复早期介入，推动加速康复外科，将康复贯穿于疾病诊疗全过程，提高医疗效果，促进患者快速康复和功能恢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十五）积极发展社区和居家康复医疗。鼓励有条件的医疗机构通过“互联网+”、家庭病床、上门巡诊等方式将机构内康复医疗服务延伸至社区和居家。支持基层医疗机构丰富和创新康复医疗服务模式，优先为失能或高龄老年人、慢性病患者、重度残疾人等有迫切康复医疗服务需求的人群提供居家康复医疗、日间康复训练、康复指导等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十六）推动康复医疗与康复辅助器具配置服务衔接融合。落实《关于加快发展康复辅助器具产业的若干意见》，推进康复医疗服务和康复辅助器具配置服务深度融合。医疗机构要按照有关要求，合理配置康复辅助器具适配设备设施，强化相关人员培训，建立康复医师、康复治疗师与康复辅助器具配置人员团队合作机制，提高专业技术和服务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b/>
          <w:bCs/>
          <w:i w:val="0"/>
          <w:iCs w:val="0"/>
          <w:caps w:val="0"/>
          <w:color w:val="333333"/>
          <w:spacing w:val="0"/>
          <w:sz w:val="24"/>
          <w:szCs w:val="24"/>
          <w:bdr w:val="none" w:color="auto" w:sz="0" w:space="0"/>
        </w:rPr>
        <w:t>六、加大支持保障力度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十七）统筹完善康复医疗服务价格和医保支付管理。将康复医疗服务价格纳入深化医疗服务价格改革中统筹考虑,做好相关项目价格的调整和优化工作。指导各地落实康复综合评定等29项医疗康复项目，加强医疗康复项目支付管理,切实保障群众基本康复医疗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十八）调动康复医疗专业人员积极性。医疗机构要建立完善康复医疗专业人员管理制度。健全以岗位职责履行、临床工作量、服务质量、行为规范、医疗质量安全、医德医风、患者满意度等为核心的绩效考核机制，将考核结果与康复医疗专业人员的岗位聘用、职称晋升、绩效分配、奖励评优等挂钩，做到多劳多得、优绩优酬，调动其积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十九）加强康复医疗信息化建设。要充分借助云计算、大数据、物联网、智慧医疗、移动互联网等信息化技术，大力推进康复医疗信息化建设,落实网络安全等级保护制度。借助信息化手段，创新发展康复医疗服务新模式、新业态、新技术，优化康复医疗服务流程，提高康复医疗服务效率。积极开展康复医疗领域的远程医疗、会诊、培训、技术指导等，惠及更多基层群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二十）推动康复医疗相关产业发展。鼓励各地通过科技创新、产业转型、成果转化等方式，结合实际和特色优势，培育康复医疗相关产业。优先在老年人、残疾人、伤病患者及儿童等人群的康复医疗方面，推动医工结合。积极支持研发和创新一批高智能、高科技、高品质的康复辅助器具产品和康复治疗设备等，逐步满足人民群众健康需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b/>
          <w:bCs/>
          <w:i w:val="0"/>
          <w:iCs w:val="0"/>
          <w:caps w:val="0"/>
          <w:color w:val="333333"/>
          <w:spacing w:val="0"/>
          <w:sz w:val="24"/>
          <w:szCs w:val="24"/>
          <w:bdr w:val="none" w:color="auto" w:sz="0" w:space="0"/>
        </w:rPr>
        <w:t>七、组织实施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二十一）加强组织领导。各有关部门要从全面推进健康中国建设、实施积极应对人口老龄化国家战略，增进人民群众健康福祉的高度，充分认识加快推进康复医疗工作发展的重要意义。切实加强组织领导，形成政策合力，完善支持配套政策。各省级卫生健康行政部门要会同有关部门在2021年10月底前制定并出台本地区加快发展康复医疗服务的具体实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二十二）明确部门职责。各有关部门要明确职责分工，加强政策联动，合力推进康复医疗服务发展。各地卫生健康行政部门要按照要求合理规划布局区域内康复医疗资源，加强康复医疗专业人员培训和队伍建设，规范康复医疗行为，提高康复医疗服务能力，保障医疗质量和安全。教育部门要加强康复医疗相关专业人才教育培养。发展改革、财政部门要按规定落实政府投入政策。医疗保障部门要推进医保支付方式改革,完善医疗服务价格管理机制。民政部门要积极推动康复辅助器具产业发展。中医药主管部门要大力发展中医药特色康复服务。残联组织做好残疾儿童康复救助工作并配合做好残疾人康复医疗相关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二十三）强化指导评估。各地卫生健康行政部门要会同有关部门建立定期指导评估、重点工作跟踪机制，及时研究解决出现的困难和问题。注重总结经验，推广有益经验。鼓励各地探索将公立康复医院纳入公立医院综合绩效考核体系统筹要求，发挥绩效考核的激励作用，引导康复医院持续健康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二十四）加大宣传力度。各地要重视和加强康复医疗服务工作的宣传，加大医疗机构医务人员的康复医疗相关政策和业务培训，提升服务能力。要广泛宣传康复理念、康复知识和康复技术等，普及和提高群众对康复的认知和重视，在全社会营造推进康复医疗发展的良好氛围。</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1ZThiMjZjNzZhZTM4ODI4OTkzMGFmNmE5M2Q5YWIifQ=="/>
  </w:docVars>
  <w:rsids>
    <w:rsidRoot w:val="41F53F17"/>
    <w:rsid w:val="41F53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82</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2024-04-03T05:20:00Z</dcterms:created>
  <dc:creator>serenarh</dc:creator>
  <cp:lastModifiedBy>serenarh</cp:lastModifiedBy>
  <dcterms:modified xsi:type="dcterms:W3CDTF">2024-04-07T00:33:58Z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36E10A04823A4B2782FA7FDB21412E88_11</vt:lpwstr>
  </property>
</Properties>
</file>