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73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微软雅黑" w:hAnsi="微软雅黑" w:eastAsia="微软雅黑" w:cs="微软雅黑"/>
          <w:sz w:val="13"/>
          <w:szCs w:val="15"/>
        </w:rPr>
      </w:pPr>
      <w:r>
        <w:rPr>
          <w:rFonts w:hint="eastAsia" w:ascii="微软雅黑" w:hAnsi="微软雅黑" w:eastAsia="微软雅黑" w:cs="微软雅黑"/>
          <w:b/>
          <w:sz w:val="32"/>
          <w:szCs w:val="15"/>
        </w:rPr>
        <w:t>生物反馈胃肠起搏治疗仪居家延续治疗项目合作方案</w:t>
      </w:r>
    </w:p>
    <w:p w14:paraId="472CD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0"/>
          <w:szCs w:val="21"/>
        </w:rPr>
      </w:pPr>
      <w:bookmarkStart w:id="0" w:name="heading_2"/>
      <w:r>
        <w:rPr>
          <w:rFonts w:hint="eastAsia" w:ascii="微软雅黑" w:hAnsi="微软雅黑" w:eastAsia="微软雅黑" w:cs="微软雅黑"/>
          <w:b/>
          <w:sz w:val="32"/>
          <w:szCs w:val="21"/>
        </w:rPr>
        <w:t>一、项目概况</w:t>
      </w:r>
      <w:bookmarkEnd w:id="0"/>
    </w:p>
    <w:p w14:paraId="25B0A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1" w:name="heading_3"/>
      <w:r>
        <w:rPr>
          <w:rFonts w:hint="eastAsia" w:ascii="微软雅黑" w:hAnsi="微软雅黑" w:eastAsia="微软雅黑" w:cs="微软雅黑"/>
          <w:b/>
          <w:sz w:val="28"/>
          <w:szCs w:val="21"/>
        </w:rPr>
        <w:t>1.1 项目名称</w:t>
      </w:r>
      <w:bookmarkEnd w:id="1"/>
    </w:p>
    <w:p w14:paraId="49ECC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sz w:val="22"/>
          <w:szCs w:val="22"/>
        </w:rPr>
        <w:t>生物反馈胃肠起搏治疗仪居家延续治疗</w:t>
      </w:r>
    </w:p>
    <w:p w14:paraId="0AB6B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2" w:name="heading_4"/>
      <w:r>
        <w:rPr>
          <w:rFonts w:hint="eastAsia" w:ascii="微软雅黑" w:hAnsi="微软雅黑" w:eastAsia="微软雅黑" w:cs="微软雅黑"/>
          <w:b/>
          <w:sz w:val="28"/>
          <w:szCs w:val="21"/>
        </w:rPr>
        <w:t>1.2 服务对象</w:t>
      </w:r>
      <w:bookmarkEnd w:id="2"/>
    </w:p>
    <w:p w14:paraId="6E1D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门诊、出院确诊胃食管反流、糜烂性食管炎、慢性功能性便秘、胃肠功能紊乱、抗精神病药物继发便秘人群，提供</w:t>
      </w:r>
      <w:r>
        <w:rPr>
          <w:rFonts w:hint="eastAsia" w:ascii="微软雅黑" w:hAnsi="微软雅黑" w:eastAsia="微软雅黑" w:cs="微软雅黑"/>
          <w:b/>
          <w:sz w:val="22"/>
        </w:rPr>
        <w:t>便携式生物反馈胃肠起搏治疗仪租赁 + 全周期消化慢病管理增值医疗服务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2F907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3" w:name="heading_5"/>
      <w:r>
        <w:rPr>
          <w:rFonts w:hint="eastAsia" w:ascii="微软雅黑" w:hAnsi="微软雅黑" w:eastAsia="微软雅黑" w:cs="微软雅黑"/>
          <w:b/>
          <w:sz w:val="28"/>
          <w:szCs w:val="21"/>
        </w:rPr>
        <w:t>1.3 合作模式</w:t>
      </w:r>
      <w:bookmarkEnd w:id="3"/>
    </w:p>
    <w:p w14:paraId="2AAE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主办方（医院）提供诊疗资质、诊疗场地、院内医疗设备与医护资源；协办方（第三方胃肠康复运营团队）全额投入治疗仪、耗材、线上系统、运营人力成本，派驻专职健管团队驻院运营；所有服务包院内统一收费，双方按营收约定比例月度分成。</w:t>
      </w:r>
    </w:p>
    <w:p w14:paraId="5933F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4" w:name="heading_6"/>
      <w:r>
        <w:rPr>
          <w:rFonts w:hint="eastAsia" w:ascii="微软雅黑" w:hAnsi="微软雅黑" w:eastAsia="微软雅黑" w:cs="微软雅黑"/>
          <w:b/>
          <w:sz w:val="28"/>
          <w:szCs w:val="21"/>
        </w:rPr>
        <w:t>1.4 组织团队架构</w:t>
      </w:r>
      <w:bookmarkEnd w:id="4"/>
    </w:p>
    <w:p w14:paraId="7573C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0"/>
          <w:szCs w:val="21"/>
        </w:rPr>
      </w:pPr>
      <w:bookmarkStart w:id="5" w:name="heading_7"/>
      <w:r>
        <w:rPr>
          <w:rFonts w:hint="eastAsia" w:ascii="微软雅黑" w:hAnsi="微软雅黑" w:eastAsia="微软雅黑" w:cs="微软雅黑"/>
          <w:b/>
          <w:sz w:val="28"/>
          <w:szCs w:val="21"/>
        </w:rPr>
        <w:t>1.4.1 院内医疗团队（主办方编制，工作量占比 30%）</w:t>
      </w:r>
      <w:bookmarkEnd w:id="5"/>
    </w:p>
    <w:p w14:paraId="522A4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基础配置（日均服务 30 人标准）：</w:t>
      </w:r>
    </w:p>
    <w:p w14:paraId="60A74F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消化主诊医师 2-4 名：负责病情诊断、禁忌症筛查、起搏处方审核、疑难病例处置、疗效评估</w:t>
      </w:r>
    </w:p>
    <w:p w14:paraId="63CAA90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专科护士 1-2 名：仪器实操教学、皮肤护理、知情告知、档案初建</w:t>
      </w:r>
    </w:p>
    <w:p w14:paraId="792E35D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胃肠理疗师 1-2 名：院内起搏参数调试、线下理疗配合</w:t>
      </w:r>
    </w:p>
    <w:p w14:paraId="39DCE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0"/>
          <w:szCs w:val="21"/>
        </w:rPr>
      </w:pPr>
      <w:bookmarkStart w:id="6" w:name="heading_8"/>
      <w:r>
        <w:rPr>
          <w:rFonts w:hint="eastAsia" w:ascii="微软雅黑" w:hAnsi="微软雅黑" w:eastAsia="微软雅黑" w:cs="微软雅黑"/>
          <w:b/>
          <w:sz w:val="28"/>
          <w:szCs w:val="21"/>
        </w:rPr>
        <w:t>1.4.2 第三方健管运营团队（协办方聘用，工作量占比 70%）</w:t>
      </w:r>
      <w:bookmarkEnd w:id="6"/>
    </w:p>
    <w:p w14:paraId="5A511C6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医助 2-4 人：预约管理、检查协调、寄药对接、资料归档</w:t>
      </w:r>
    </w:p>
    <w:p w14:paraId="342717F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消化专科营养师 2-3 人：反流低刺激食谱、通便膳食定制、远程饮食跟踪</w:t>
      </w:r>
    </w:p>
    <w:p w14:paraId="380617A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健康管理师 3-5 人：线上定期随访、症状量表记录、居家操作纠错</w:t>
      </w:r>
    </w:p>
    <w:p w14:paraId="113E8C2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专职随访专员 2 人：周期回访、到期续约提醒、康复复盘</w:t>
      </w:r>
    </w:p>
    <w:p w14:paraId="3BBBB48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仓管 1 人：治疗仪出入库、租赁登记、回收消毒、耗材发放</w:t>
      </w:r>
    </w:p>
    <w:p w14:paraId="65173EC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宣教文案 1 人：操作视频、患教手册、科普资料制作</w:t>
      </w:r>
    </w:p>
    <w:p w14:paraId="15BC9C9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线上客服 1 人：日间居家治疗问题答疑</w:t>
      </w:r>
    </w:p>
    <w:p w14:paraId="13265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0"/>
          <w:szCs w:val="21"/>
        </w:rPr>
      </w:pPr>
      <w:bookmarkStart w:id="7" w:name="heading_9"/>
      <w:r>
        <w:rPr>
          <w:rFonts w:hint="eastAsia" w:ascii="微软雅黑" w:hAnsi="微软雅黑" w:eastAsia="微软雅黑" w:cs="微软雅黑"/>
          <w:b/>
          <w:sz w:val="28"/>
          <w:szCs w:val="21"/>
        </w:rPr>
        <w:t>1.4.3 标准服务小组单元</w:t>
      </w:r>
      <w:bookmarkEnd w:id="7"/>
    </w:p>
    <w:p w14:paraId="1206F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 名消化医师 + 1 名专科护士 + 1 名营养师 + 1 名健康管理师</w:t>
      </w:r>
    </w:p>
    <w:p w14:paraId="165AA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8" w:name="heading_10"/>
      <w:r>
        <w:rPr>
          <w:rFonts w:hint="eastAsia" w:ascii="微软雅黑" w:hAnsi="微软雅黑" w:eastAsia="微软雅黑" w:cs="微软雅黑"/>
          <w:b/>
          <w:sz w:val="28"/>
          <w:szCs w:val="21"/>
        </w:rPr>
        <w:t>1.5 临床技术依据</w:t>
      </w:r>
      <w:bookmarkEnd w:id="8"/>
    </w:p>
    <w:p w14:paraId="61866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体表胃肠起搏通过电刺激调节胃肠生物电节律，提升食管下括约肌压力，改善胃排空、结肠传输功能；多篇临床文献证实可显著缓解反酸、烧心、腹胀、排便费力，作为药物配套居家无创康复手段，属于消化慢病延续性标准化服务。</w:t>
      </w:r>
    </w:p>
    <w:p w14:paraId="5892C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</w:rPr>
      </w:pPr>
      <w:bookmarkStart w:id="9" w:name="heading_11"/>
      <w:r>
        <w:rPr>
          <w:rFonts w:hint="eastAsia" w:ascii="微软雅黑" w:hAnsi="微软雅黑" w:eastAsia="微软雅黑" w:cs="微软雅黑"/>
          <w:b/>
          <w:sz w:val="36"/>
        </w:rPr>
        <w:t>二、甲乙双方权责划分</w:t>
      </w:r>
      <w:bookmarkEnd w:id="9"/>
    </w:p>
    <w:p w14:paraId="1D3FC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bookmarkStart w:id="10" w:name="heading_12"/>
      <w:r>
        <w:rPr>
          <w:rFonts w:hint="eastAsia" w:ascii="微软雅黑" w:hAnsi="微软雅黑" w:eastAsia="微软雅黑" w:cs="微软雅黑"/>
          <w:b/>
          <w:sz w:val="32"/>
        </w:rPr>
        <w:t>2.1 主办方（医院）职责</w:t>
      </w:r>
      <w:bookmarkEnd w:id="10"/>
    </w:p>
    <w:p w14:paraId="15BF249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场地配套：提供康复诊室、候诊宣教区、仪器仓储区，完成文化墙、宣教显示屏、诊台配套；</w:t>
      </w:r>
    </w:p>
    <w:p w14:paraId="5A1EB01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医疗主体责任：把控全部医疗安全，负责内镜、胃肠动力检测、抽血检验、药物开具、病情诊断，所有居家起搏方案必须经本院医师签字审核后方可执行；</w:t>
      </w:r>
    </w:p>
    <w:p w14:paraId="5E6F20B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院内资源开放：消化专家门诊、食管测压、肛肠动力检查、住院 / 日间理疗床位开通项目患者优先通道；</w:t>
      </w:r>
    </w:p>
    <w:p w14:paraId="476C0DC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院内人员管理：编制内医护排班、薪酬发放、科室医疗质控；定期开展起搏诊疗规范培训；</w:t>
      </w:r>
    </w:p>
    <w:p w14:paraId="668913A7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收费合规管理：院内收费窗口统一收取全部服务包费用，开具正规医疗票据，建立独立项目台账；设备押金单独专户存放，不纳入项目营收；</w:t>
      </w:r>
    </w:p>
    <w:p w14:paraId="3F2EE4B2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急症转诊：患者居家出现呕血、黑便、剧烈腹痛、完全停止排便等急症，开通急诊快速就诊通道；</w:t>
      </w:r>
    </w:p>
    <w:p w14:paraId="672DAC9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运营监督：每月对第三方驻场团队服务质量、设备消杀、随访完成度进行督查，违规事项要求限期整改。</w:t>
      </w:r>
    </w:p>
    <w:p w14:paraId="7BD9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bookmarkStart w:id="11" w:name="heading_13"/>
      <w:r>
        <w:rPr>
          <w:rFonts w:hint="eastAsia" w:ascii="微软雅黑" w:hAnsi="微软雅黑" w:eastAsia="微软雅黑" w:cs="微软雅黑"/>
          <w:b/>
          <w:sz w:val="32"/>
        </w:rPr>
        <w:t>2.2 协办方（第三方运营团队）职责</w:t>
      </w:r>
      <w:bookmarkEnd w:id="11"/>
    </w:p>
    <w:p w14:paraId="5135F3CB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资金投入：全额承担便携式治疗仪采购、一次性电极耗材、线上随访系统、宣教物料、全部健管团队薪资、设备检修物流费用；</w:t>
      </w:r>
    </w:p>
    <w:p w14:paraId="1775623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设备租赁体系搭建：统一采购标准化便携式生物反馈胃肠起搏治疗仪，建立租赁、交付、回收、消毒、维修全流程管理制度，配套充电设备、收纳包；</w:t>
      </w:r>
    </w:p>
    <w:p w14:paraId="02B01EA7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全套技术输出：提供反流专用、便秘专用两套起搏参数体系、全周期康复评估标准、标准化服务流程；</w:t>
      </w:r>
    </w:p>
    <w:p w14:paraId="4FED9A67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人员招聘培训：全部健管、运营人员由第三方招聘、持证培训、发放薪资社保，派驻院内驻场办公；</w:t>
      </w:r>
    </w:p>
    <w:p w14:paraId="1219BCD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个性化方案制定：营养师、健管师根据患者症状制定居家起搏、饮食、作息方案，提交院内医师复核签字后交付患者；</w:t>
      </w:r>
    </w:p>
    <w:p w14:paraId="5EB0DB6A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耗材与物料供应：免费配套周期电极贴片、症状评分量表、居家康复手册；</w:t>
      </w:r>
    </w:p>
    <w:p w14:paraId="0EAE5CCA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线上服务运营：搭建微信图文 / 视频随访通道，完成月度症状采集、康复记录；</w:t>
      </w:r>
    </w:p>
    <w:p w14:paraId="34DEDCD8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设备售后：租赁到期设备回收、非人为故障免费检修，人为损坏定损核算；</w:t>
      </w:r>
    </w:p>
    <w:p w14:paraId="709EB533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院内患教落地：定期开展线下康复科普、仪器实操教学活动。</w:t>
      </w:r>
    </w:p>
    <w:p w14:paraId="5C9B6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0"/>
          <w:szCs w:val="21"/>
        </w:rPr>
      </w:pPr>
      <w:bookmarkStart w:id="12" w:name="heading_14"/>
      <w:r>
        <w:rPr>
          <w:rFonts w:hint="eastAsia" w:ascii="微软雅黑" w:hAnsi="微软雅黑" w:eastAsia="微软雅黑" w:cs="微软雅黑"/>
          <w:b/>
          <w:sz w:val="32"/>
          <w:szCs w:val="21"/>
        </w:rPr>
        <w:t>三、居家起搏租赁服务包</w:t>
      </w:r>
      <w:bookmarkEnd w:id="12"/>
    </w:p>
    <w:p w14:paraId="78EF1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13" w:name="heading_15"/>
      <w:r>
        <w:rPr>
          <w:rFonts w:hint="eastAsia" w:ascii="微软雅黑" w:hAnsi="微软雅黑" w:eastAsia="微软雅黑" w:cs="微软雅黑"/>
          <w:b/>
          <w:sz w:val="28"/>
          <w:szCs w:val="21"/>
        </w:rPr>
        <w:t>3.1 基础收费与成本说明</w:t>
      </w:r>
      <w:bookmarkEnd w:id="13"/>
    </w:p>
    <w:p w14:paraId="13D2B17F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所有服务包均为自费增值医疗服务，不纳入医保；院内药品、检验、内镜、院内理疗需患者另行缴费；</w:t>
      </w:r>
    </w:p>
    <w:p w14:paraId="46E876CB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全部套餐均收取治疗仪设备押金 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</w:rPr>
        <w:t>000 元，服务期满仪器、配件完好无损，凭押金收据全额原路退还；人为丢失、严重损毁扣除押金抵扣损失；</w:t>
      </w:r>
    </w:p>
    <w:p w14:paraId="56ABFD43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物料成本占比：</w:t>
      </w:r>
    </w:p>
    <w:p w14:paraId="350D571F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A 类半年基础包：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</w:rPr>
        <w:t>200 元，耗材 + 设备折旧物料成本占 2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sz w:val="22"/>
        </w:rPr>
        <w:t>%</w:t>
      </w:r>
    </w:p>
    <w:p w14:paraId="400FA6B3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B 类全年标准包：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2"/>
        </w:rPr>
        <w:t xml:space="preserve">800 元，耗材 + 设备折旧物料成本占 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30</w:t>
      </w:r>
      <w:r>
        <w:rPr>
          <w:rFonts w:hint="eastAsia" w:ascii="微软雅黑" w:hAnsi="微软雅黑" w:eastAsia="微软雅黑" w:cs="微软雅黑"/>
          <w:sz w:val="22"/>
        </w:rPr>
        <w:t>%</w:t>
      </w:r>
    </w:p>
    <w:p w14:paraId="47D0FCD2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 类全年尊享包：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2"/>
        </w:rPr>
        <w:t>8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sz w:val="22"/>
        </w:rPr>
        <w:t xml:space="preserve">0 元，耗材 + 设备折旧物料成本占 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30</w:t>
      </w:r>
      <w:r>
        <w:rPr>
          <w:rFonts w:hint="eastAsia" w:ascii="微软雅黑" w:hAnsi="微软雅黑" w:eastAsia="微软雅黑" w:cs="微软雅黑"/>
          <w:sz w:val="22"/>
        </w:rPr>
        <w:t>%</w:t>
      </w:r>
    </w:p>
    <w:p w14:paraId="2D7B2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bookmarkStart w:id="14" w:name="heading_16"/>
      <w:r>
        <w:rPr>
          <w:rFonts w:hint="eastAsia" w:ascii="微软雅黑" w:hAnsi="微软雅黑" w:eastAsia="微软雅黑" w:cs="微软雅黑"/>
          <w:b/>
          <w:sz w:val="32"/>
        </w:rPr>
        <w:t>3.2 三类服务包完整服务内涵</w:t>
      </w:r>
      <w:bookmarkEnd w:id="14"/>
    </w:p>
    <w:p w14:paraId="2715D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bookmarkStart w:id="15" w:name="heading_17"/>
      <w:r>
        <w:rPr>
          <w:rFonts w:hint="eastAsia" w:ascii="微软雅黑" w:hAnsi="微软雅黑" w:eastAsia="微软雅黑" w:cs="微软雅黑"/>
          <w:b/>
          <w:sz w:val="30"/>
        </w:rPr>
        <w:t xml:space="preserve">A 类 半年基础租赁包（周期 6 个月，总价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0"/>
        </w:rPr>
        <w:t xml:space="preserve">200 元，押金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0"/>
        </w:rPr>
        <w:t>000 元）</w:t>
      </w:r>
      <w:bookmarkEnd w:id="15"/>
    </w:p>
    <w:p w14:paraId="496BEB3D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便携式生物反馈胃肠起搏治疗仪 6 个月专属租赁使用权，专人消毒交付，仅限本人使用，禁止转借、拆解；</w:t>
      </w:r>
    </w:p>
    <w:p w14:paraId="302B2DE0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线下消化专科医师面诊评估 2 次（单次 20 分钟，起搏基础参数调试、禁忌症二次复核）；</w:t>
      </w:r>
    </w:p>
    <w:p w14:paraId="1AFAED75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微信图文线上随访 6 次（每月 1 次，记录反酸、便秘症状积分）；</w:t>
      </w:r>
    </w:p>
    <w:p w14:paraId="69C30A9A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专科护士线下仪器实操教学 2 次，线上文字不限次答疑；</w:t>
      </w:r>
    </w:p>
    <w:p w14:paraId="671327FC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 天一对一远程饮食指导，提供反流 / 便秘基础居家食谱；</w:t>
      </w:r>
    </w:p>
    <w:p w14:paraId="2970A6A3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建立专属电子康复档案，按月复盘居家治疗执行情况；</w:t>
      </w:r>
    </w:p>
    <w:p w14:paraId="3F0C5A75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每月免费领取 1 包原装电极贴片，额外耗材自费采购；</w:t>
      </w:r>
    </w:p>
    <w:p w14:paraId="4908B80B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院内胃肠动力检查优先预约通道；</w:t>
      </w:r>
    </w:p>
    <w:p w14:paraId="3DECFA00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仪器基础质保，非人为故障免费维修；服务到期仪器完好无损全额退还设备押金。</w:t>
      </w:r>
    </w:p>
    <w:p w14:paraId="27984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bookmarkStart w:id="16" w:name="heading_18"/>
      <w:r>
        <w:rPr>
          <w:rFonts w:hint="eastAsia" w:ascii="微软雅黑" w:hAnsi="微软雅黑" w:eastAsia="微软雅黑" w:cs="微软雅黑"/>
          <w:b/>
          <w:sz w:val="30"/>
        </w:rPr>
        <w:t xml:space="preserve">B 类 全年标准租赁包（周期 12 个月，总价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30"/>
        </w:rPr>
        <w:t xml:space="preserve">800 元，押金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0"/>
        </w:rPr>
        <w:t>000 元）</w:t>
      </w:r>
      <w:bookmarkEnd w:id="16"/>
    </w:p>
    <w:p w14:paraId="71CBC18D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便携式胃肠起搏治疗仪全年租赁使用，每月免费领取 2 包原装电极贴片；</w:t>
      </w:r>
    </w:p>
    <w:p w14:paraId="68D930C4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线下高级职称消化专家面诊 4 次 / 年（每季度 1 次，按需切换反流 / 便秘起搏模式）；</w:t>
      </w:r>
    </w:p>
    <w:p w14:paraId="3DD01F0E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线上图文 + 视频复诊 12 次（每月 1 次，视频纠正居家操作不规范问题）；</w:t>
      </w:r>
    </w:p>
    <w:p w14:paraId="330099FC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线下护理专家一对一实操指导 4 次，开通日间线上应急咨询通道；</w:t>
      </w:r>
    </w:p>
    <w:p w14:paraId="262B6B6B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协助院内开药，药品可邮寄到家（邮费患者到付），长期用药方案动态优化；</w:t>
      </w:r>
    </w:p>
    <w:p w14:paraId="67B31BED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14 天专属营养师远程全程膳食干预，区分糜烂性反流、顽固性便秘两套分阶段食谱；</w:t>
      </w:r>
    </w:p>
    <w:p w14:paraId="60341670"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每季度出具康复评估报告（CAT 反流量表、PAC-SYM 便秘量表打分对比）；</w:t>
      </w:r>
    </w:p>
    <w:p w14:paraId="7C60FEAA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紧缺胃肠动力检测、日间理疗床位优先安排；</w:t>
      </w:r>
    </w:p>
    <w:p w14:paraId="24341252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每年 1 次院内简易跨科室联合会诊（消化联合耳鼻喉 / 肛肠科）；</w:t>
      </w:r>
    </w:p>
    <w:p w14:paraId="6B777AD2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仪器全年全质保，故障可上门检修；服务到期可续约，未使用服务顺延 30 天；仪器完好全额退还押金。</w:t>
      </w:r>
    </w:p>
    <w:p w14:paraId="5862F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bookmarkStart w:id="17" w:name="heading_19"/>
      <w:r>
        <w:rPr>
          <w:rFonts w:hint="eastAsia" w:ascii="微软雅黑" w:hAnsi="微软雅黑" w:eastAsia="微软雅黑" w:cs="微软雅黑"/>
          <w:b/>
          <w:sz w:val="30"/>
        </w:rPr>
        <w:t xml:space="preserve">C 类 全年尊享租赁包（周期 12 个月，总价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 w:val="30"/>
        </w:rPr>
        <w:t>8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/>
          <w:sz w:val="30"/>
        </w:rPr>
        <w:t xml:space="preserve">0 元，押金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30"/>
        </w:rPr>
        <w:t>000 元）</w:t>
      </w:r>
      <w:bookmarkEnd w:id="17"/>
    </w:p>
    <w:p w14:paraId="07F7659C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便携式起搏治疗仪全年租赁，全年不限次数免费领用原装电极耗材；</w:t>
      </w:r>
    </w:p>
    <w:p w14:paraId="645A5556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线下高级职称消化专家面诊 6 次 / 年（每 2 个月 1 次，同步评估食管、肠道双重动力状态）；</w:t>
      </w:r>
    </w:p>
    <w:p w14:paraId="43D64A93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线上图文、视频、电话复诊合计 18 次；</w:t>
      </w:r>
    </w:p>
    <w:p w14:paraId="4C0459BD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线下护理一对一仪器实操指导 6 次，每月开展线上康复深度复盘；</w:t>
      </w:r>
    </w:p>
    <w:p w14:paraId="7E9B3B7F"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长期抑酸、通便药物精细化管理，定期评估药物不良反应；</w:t>
      </w:r>
    </w:p>
    <w:p w14:paraId="3538B83A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21 天营养师一对一全周期饮食跟踪，定制阶梯式康复膳食方案；</w:t>
      </w:r>
    </w:p>
    <w:p w14:paraId="438BA11B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每年 1 次胃动素、胃泌素、食管测压检测报告专业解读；</w:t>
      </w:r>
    </w:p>
    <w:p w14:paraId="4F25E5DF">
      <w:pPr>
        <w:keepNext w:val="0"/>
        <w:keepLines w:val="0"/>
        <w:pageBreakBefore w:val="0"/>
        <w:widowControl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定制反流 + 便秘复合同步起搏治疗模式；</w:t>
      </w:r>
    </w:p>
    <w:p w14:paraId="121ECE0F">
      <w:pPr>
        <w:keepNext w:val="0"/>
        <w:keepLines w:val="0"/>
        <w:pageBreakBefore w:val="0"/>
        <w:widowControl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院内内镜、胃肠动力检查、住院床位、日间输注床位最高优先级；</w:t>
      </w:r>
    </w:p>
    <w:p w14:paraId="0093AC7C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每年 1 次消化 +  肛肠科多学科联合综合评估；</w:t>
      </w:r>
    </w:p>
    <w:p w14:paraId="595B957D"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仪器全年免费维护检修；续约享服务包总价 9 折优惠；服务到期仪器完好无损全额退还押金。</w:t>
      </w:r>
    </w:p>
    <w:p w14:paraId="33031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0"/>
          <w:szCs w:val="21"/>
        </w:rPr>
      </w:pPr>
      <w:bookmarkStart w:id="18" w:name="heading_20"/>
      <w:r>
        <w:rPr>
          <w:rFonts w:hint="eastAsia" w:ascii="微软雅黑" w:hAnsi="微软雅黑" w:eastAsia="微软雅黑" w:cs="微软雅黑"/>
          <w:b/>
          <w:sz w:val="32"/>
          <w:szCs w:val="21"/>
        </w:rPr>
        <w:t>四、项目收益分配规则</w:t>
      </w:r>
      <w:bookmarkEnd w:id="18"/>
    </w:p>
    <w:p w14:paraId="5B83DE1C">
      <w:pPr>
        <w:keepNext w:val="0"/>
        <w:keepLines w:val="0"/>
        <w:pageBreakBefore w:val="0"/>
        <w:widowControl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结算基数：以患者全额缴纳的服务包费用作为月度营收核算基数，设备押金不计入项目分成；</w:t>
      </w:r>
    </w:p>
    <w:p w14:paraId="0A92627B"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固定分成比例：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主办方（医院）：项目总营收 60%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协办方（第三方运营团队）：项目总营收 40%</w:t>
      </w:r>
    </w:p>
    <w:p w14:paraId="52EB0415">
      <w:pPr>
        <w:keepNext w:val="0"/>
        <w:keepLines w:val="0"/>
        <w:pageBreakBefore w:val="0"/>
        <w:widowControl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结算周期：自然月结算，次月 5 日前双方核对上月全部收费台账，核对无误 7 个工作日内完成款项划转；</w:t>
      </w:r>
    </w:p>
    <w:p w14:paraId="7ADF9024">
      <w:pPr>
        <w:keepNext w:val="0"/>
        <w:keepLines w:val="0"/>
        <w:pageBreakBefore w:val="0"/>
        <w:widowControl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成本覆盖划分：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医院 60% 分成：覆盖院内医护薪酬、场地运维、院内设备折旧、医疗质控、院内耗材成本；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第三方 40% 分成：覆盖起搏治疗仪折旧、电极耗材、健管团队全部薪资、线上系统运维、设备检修、宣教运营全部支出；</w:t>
      </w:r>
    </w:p>
    <w:p w14:paraId="653DE46D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押金管理：押金由医院独立专户保管，患者归还完好仪器后原路返还，不参与双方分成。</w:t>
      </w:r>
    </w:p>
    <w:p w14:paraId="42923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0"/>
          <w:szCs w:val="21"/>
        </w:rPr>
      </w:pPr>
      <w:bookmarkStart w:id="19" w:name="heading_21"/>
      <w:r>
        <w:rPr>
          <w:rFonts w:hint="eastAsia" w:ascii="微软雅黑" w:hAnsi="微软雅黑" w:eastAsia="微软雅黑" w:cs="微软雅黑"/>
          <w:b/>
          <w:sz w:val="32"/>
          <w:szCs w:val="21"/>
        </w:rPr>
        <w:t>五、双方违约责任</w:t>
      </w:r>
      <w:bookmarkEnd w:id="19"/>
    </w:p>
    <w:p w14:paraId="12157DA5">
      <w:pPr>
        <w:keepNext w:val="0"/>
        <w:keepLines w:val="0"/>
        <w:pageBreakBefore w:val="0"/>
        <w:widowControl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医院违约：未兑现检查 / 床位绿色通道、院内医师拒绝审核起搏康复方案、无故延迟对账结算，需免费补足患者缺失服务，同时按当月分成差额对第三方予以补偿；</w:t>
      </w:r>
    </w:p>
    <w:p w14:paraId="498C59DD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第三方违约：治疗仪供应短缺、驻场人员缺岗、未经过医师审核私自制定康复方案、仪器未规范消毒，医院有权扣除当月 10%-30% 分成，限期整改，逾期未整改院方可单方面终止合作；</w:t>
      </w:r>
    </w:p>
    <w:p w14:paraId="02B50EB9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医疗责任划分：因院方漏筛禁忌症、诊断失误造成不良反应，全部医疗责任由医院承担；因第三方健管错误指导、设备维护不当引发患者不适，赔偿责任由第三方承担；</w:t>
      </w:r>
    </w:p>
    <w:p w14:paraId="3465326E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租赁设备损坏：患者人为丢失、撞击、进水损坏治疗仪，扣除 1000 押金抵扣设备折旧，损失超出押金部分由患者补足；正常使用损耗由第三方免费维修更换配件。</w:t>
      </w:r>
    </w:p>
    <w:p w14:paraId="3C305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0"/>
          <w:szCs w:val="21"/>
        </w:rPr>
      </w:pPr>
      <w:bookmarkStart w:id="20" w:name="heading_22"/>
      <w:r>
        <w:rPr>
          <w:rFonts w:hint="eastAsia" w:ascii="微软雅黑" w:hAnsi="微软雅黑" w:eastAsia="微软雅黑" w:cs="微软雅黑"/>
          <w:b/>
          <w:sz w:val="32"/>
          <w:szCs w:val="21"/>
        </w:rPr>
        <w:t>六、合作期限与续约机制</w:t>
      </w:r>
      <w:bookmarkEnd w:id="20"/>
    </w:p>
    <w:p w14:paraId="0D4D968B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基础合作期限 3 年，合作期满前 90 天双方核对全年运营数据，协商续约条款；</w:t>
      </w:r>
    </w:p>
    <w:p w14:paraId="621055D2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续约优惠：存量老患者续约全部服务包享 9 折优惠，新患者原价收费；</w:t>
      </w:r>
    </w:p>
    <w:p w14:paraId="69C07FBE">
      <w:pPr>
        <w:keepNext w:val="0"/>
        <w:keepLines w:val="0"/>
        <w:pageBreakBefore w:val="0"/>
        <w:widowControl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解约过渡期：任意一方提出终止合作，需提前 6 个月出具书面告知函；过渡期 6 个月，期间完成全部在管患者服务履约、治疗仪回收、全部营收款项结清。</w:t>
      </w:r>
    </w:p>
    <w:p w14:paraId="1B3D3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0"/>
          <w:szCs w:val="21"/>
        </w:rPr>
      </w:pPr>
      <w:bookmarkStart w:id="21" w:name="heading_23"/>
      <w:r>
        <w:rPr>
          <w:rFonts w:hint="eastAsia" w:ascii="微软雅黑" w:hAnsi="微软雅黑" w:eastAsia="微软雅黑" w:cs="微软雅黑"/>
          <w:b/>
          <w:sz w:val="32"/>
          <w:szCs w:val="21"/>
        </w:rPr>
        <w:t>七、项目运营预期成效</w:t>
      </w:r>
      <w:bookmarkEnd w:id="21"/>
    </w:p>
    <w:p w14:paraId="2B0EB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22" w:name="heading_24"/>
      <w:r>
        <w:rPr>
          <w:rFonts w:hint="eastAsia" w:ascii="微软雅黑" w:hAnsi="微软雅黑" w:eastAsia="微软雅黑" w:cs="微软雅黑"/>
          <w:b/>
          <w:sz w:val="28"/>
          <w:szCs w:val="21"/>
        </w:rPr>
        <w:t>7.1 临床效益</w:t>
      </w:r>
      <w:bookmarkEnd w:id="22"/>
    </w:p>
    <w:p w14:paraId="15AC5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填补返流、便秘患者居家物理康复空白，减少反复发作、门诊复诊频次，提升药物综合治疗有效率，改善腹胀、反酸、排便困难等核心症状，提升患者生活质量。</w:t>
      </w:r>
    </w:p>
    <w:p w14:paraId="1C5B6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23" w:name="heading_25"/>
      <w:r>
        <w:rPr>
          <w:rFonts w:hint="eastAsia" w:ascii="微软雅黑" w:hAnsi="微软雅黑" w:eastAsia="微软雅黑" w:cs="微软雅黑"/>
          <w:b/>
          <w:sz w:val="28"/>
          <w:szCs w:val="21"/>
        </w:rPr>
        <w:t>7.2 院内科室效益</w:t>
      </w:r>
      <w:bookmarkEnd w:id="23"/>
    </w:p>
    <w:p w14:paraId="52A55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完善消化科慢病延续性医疗服务体系，打造院内特色居家胃肠康复项目，提升门诊、住院患者转化，形成区域消化慢病管理示范专科。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后续可以扩展到全院大部份相关科室。</w:t>
      </w:r>
      <w:bookmarkStart w:id="26" w:name="_GoBack"/>
      <w:bookmarkEnd w:id="26"/>
    </w:p>
    <w:p w14:paraId="150BB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24" w:name="heading_26"/>
      <w:r>
        <w:rPr>
          <w:rFonts w:hint="eastAsia" w:ascii="微软雅黑" w:hAnsi="微软雅黑" w:eastAsia="微软雅黑" w:cs="微软雅黑"/>
          <w:b/>
          <w:sz w:val="28"/>
          <w:szCs w:val="21"/>
        </w:rPr>
        <w:t>7.3 患者口碑效益</w:t>
      </w:r>
      <w:bookmarkEnd w:id="24"/>
    </w:p>
    <w:p w14:paraId="54864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无创居家理疗 + 全程专人随访 + 个性化饮食配套，患者满意度高，复购、亲友转介绍意愿强，提升医院品牌口碑。</w:t>
      </w:r>
    </w:p>
    <w:p w14:paraId="6E58C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0"/>
          <w:szCs w:val="21"/>
        </w:rPr>
      </w:pPr>
      <w:bookmarkStart w:id="25" w:name="heading_27"/>
      <w:r>
        <w:rPr>
          <w:rFonts w:hint="eastAsia" w:ascii="微软雅黑" w:hAnsi="微软雅黑" w:eastAsia="微软雅黑" w:cs="微软雅黑"/>
          <w:b/>
          <w:sz w:val="28"/>
          <w:szCs w:val="21"/>
        </w:rPr>
        <w:t>7.4 经营收益预期</w:t>
      </w:r>
      <w:bookmarkEnd w:id="25"/>
    </w:p>
    <w:p w14:paraId="4BBE3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项目稳定运营满 12 个月后，月度服务包综合营收可达 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？</w:t>
      </w:r>
      <w:r>
        <w:rPr>
          <w:rFonts w:hint="eastAsia" w:ascii="微软雅黑" w:hAnsi="微软雅黑" w:eastAsia="微软雅黑" w:cs="微软雅黑"/>
          <w:sz w:val="22"/>
        </w:rPr>
        <w:t xml:space="preserve"> 万 -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？</w:t>
      </w:r>
      <w:r>
        <w:rPr>
          <w:rFonts w:hint="eastAsia" w:ascii="微软雅黑" w:hAnsi="微软雅黑" w:eastAsia="微软雅黑" w:cs="微软雅黑"/>
          <w:sz w:val="22"/>
        </w:rPr>
        <w:t xml:space="preserve"> 万元，为医院与合作方创造长期稳定可持续收益。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967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8DCA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1ACDE60F"/>
    <w:multiLevelType w:val="singleLevel"/>
    <w:tmpl w:val="1ACDE60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1C257C7B"/>
    <w:multiLevelType w:val="singleLevel"/>
    <w:tmpl w:val="1C257C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1">
    <w:nsid w:val="23E97754"/>
    <w:multiLevelType w:val="singleLevel"/>
    <w:tmpl w:val="23E9775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2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2470EC97"/>
    <w:multiLevelType w:val="singleLevel"/>
    <w:tmpl w:val="2470E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4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30A0AC00"/>
    <w:multiLevelType w:val="singleLevel"/>
    <w:tmpl w:val="30A0AC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30FC5B15"/>
    <w:multiLevelType w:val="singleLevel"/>
    <w:tmpl w:val="30FC5B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8">
    <w:nsid w:val="322D85CA"/>
    <w:multiLevelType w:val="singleLevel"/>
    <w:tmpl w:val="322D85C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9">
    <w:nsid w:val="32A7AF2D"/>
    <w:multiLevelType w:val="singleLevel"/>
    <w:tmpl w:val="32A7AF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40B249F9"/>
    <w:multiLevelType w:val="singleLevel"/>
    <w:tmpl w:val="40B249F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4">
    <w:nsid w:val="46A08BB8"/>
    <w:multiLevelType w:val="singleLevel"/>
    <w:tmpl w:val="46A08BB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5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4C3D7A74"/>
    <w:multiLevelType w:val="singleLevel"/>
    <w:tmpl w:val="4C3D7A7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7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5FFFB1A7"/>
    <w:multiLevelType w:val="singleLevel"/>
    <w:tmpl w:val="5FFFB1A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4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9">
    <w:nsid w:val="74C28B35"/>
    <w:multiLevelType w:val="singleLevel"/>
    <w:tmpl w:val="74C28B3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0">
    <w:nsid w:val="77ECEA79"/>
    <w:multiLevelType w:val="singleLevel"/>
    <w:tmpl w:val="77ECEA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1">
    <w:nsid w:val="79AA4FA4"/>
    <w:multiLevelType w:val="singleLevel"/>
    <w:tmpl w:val="79AA4FA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2">
    <w:nsid w:val="7C246926"/>
    <w:multiLevelType w:val="singleLevel"/>
    <w:tmpl w:val="7C24692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3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60"/>
  </w:num>
  <w:num w:numId="4">
    <w:abstractNumId w:val="16"/>
  </w:num>
  <w:num w:numId="5">
    <w:abstractNumId w:val="12"/>
  </w:num>
  <w:num w:numId="6">
    <w:abstractNumId w:val="32"/>
  </w:num>
  <w:num w:numId="7">
    <w:abstractNumId w:val="44"/>
  </w:num>
  <w:num w:numId="8">
    <w:abstractNumId w:val="68"/>
  </w:num>
  <w:num w:numId="9">
    <w:abstractNumId w:val="30"/>
  </w:num>
  <w:num w:numId="10">
    <w:abstractNumId w:val="5"/>
  </w:num>
  <w:num w:numId="11">
    <w:abstractNumId w:val="45"/>
  </w:num>
  <w:num w:numId="12">
    <w:abstractNumId w:val="61"/>
  </w:num>
  <w:num w:numId="13">
    <w:abstractNumId w:val="18"/>
  </w:num>
  <w:num w:numId="14">
    <w:abstractNumId w:val="57"/>
  </w:num>
  <w:num w:numId="15">
    <w:abstractNumId w:val="25"/>
  </w:num>
  <w:num w:numId="16">
    <w:abstractNumId w:val="43"/>
  </w:num>
  <w:num w:numId="17">
    <w:abstractNumId w:val="22"/>
  </w:num>
  <w:num w:numId="18">
    <w:abstractNumId w:val="21"/>
  </w:num>
  <w:num w:numId="19">
    <w:abstractNumId w:val="7"/>
  </w:num>
  <w:num w:numId="20">
    <w:abstractNumId w:val="55"/>
  </w:num>
  <w:num w:numId="21">
    <w:abstractNumId w:val="64"/>
  </w:num>
  <w:num w:numId="22">
    <w:abstractNumId w:val="35"/>
  </w:num>
  <w:num w:numId="23">
    <w:abstractNumId w:val="54"/>
  </w:num>
  <w:num w:numId="24">
    <w:abstractNumId w:val="9"/>
  </w:num>
  <w:num w:numId="25">
    <w:abstractNumId w:val="72"/>
  </w:num>
  <w:num w:numId="26">
    <w:abstractNumId w:val="70"/>
  </w:num>
  <w:num w:numId="27">
    <w:abstractNumId w:val="15"/>
  </w:num>
  <w:num w:numId="28">
    <w:abstractNumId w:val="65"/>
  </w:num>
  <w:num w:numId="29">
    <w:abstractNumId w:val="6"/>
  </w:num>
  <w:num w:numId="30">
    <w:abstractNumId w:val="51"/>
  </w:num>
  <w:num w:numId="31">
    <w:abstractNumId w:val="2"/>
  </w:num>
  <w:num w:numId="32">
    <w:abstractNumId w:val="59"/>
  </w:num>
  <w:num w:numId="33">
    <w:abstractNumId w:val="73"/>
  </w:num>
  <w:num w:numId="34">
    <w:abstractNumId w:val="0"/>
  </w:num>
  <w:num w:numId="35">
    <w:abstractNumId w:val="42"/>
  </w:num>
  <w:num w:numId="36">
    <w:abstractNumId w:val="58"/>
  </w:num>
  <w:num w:numId="37">
    <w:abstractNumId w:val="27"/>
  </w:num>
  <w:num w:numId="38">
    <w:abstractNumId w:val="23"/>
  </w:num>
  <w:num w:numId="39">
    <w:abstractNumId w:val="47"/>
  </w:num>
  <w:num w:numId="40">
    <w:abstractNumId w:val="71"/>
  </w:num>
  <w:num w:numId="41">
    <w:abstractNumId w:val="14"/>
  </w:num>
  <w:num w:numId="42">
    <w:abstractNumId w:val="4"/>
  </w:num>
  <w:num w:numId="43">
    <w:abstractNumId w:val="13"/>
  </w:num>
  <w:num w:numId="44">
    <w:abstractNumId w:val="62"/>
  </w:num>
  <w:num w:numId="45">
    <w:abstractNumId w:val="1"/>
  </w:num>
  <w:num w:numId="46">
    <w:abstractNumId w:val="39"/>
  </w:num>
  <w:num w:numId="47">
    <w:abstractNumId w:val="3"/>
  </w:num>
  <w:num w:numId="48">
    <w:abstractNumId w:val="63"/>
  </w:num>
  <w:num w:numId="49">
    <w:abstractNumId w:val="69"/>
  </w:num>
  <w:num w:numId="50">
    <w:abstractNumId w:val="56"/>
  </w:num>
  <w:num w:numId="51">
    <w:abstractNumId w:val="48"/>
  </w:num>
  <w:num w:numId="52">
    <w:abstractNumId w:val="66"/>
  </w:num>
  <w:num w:numId="53">
    <w:abstractNumId w:val="33"/>
  </w:num>
  <w:num w:numId="54">
    <w:abstractNumId w:val="34"/>
  </w:num>
  <w:num w:numId="55">
    <w:abstractNumId w:val="20"/>
  </w:num>
  <w:num w:numId="56">
    <w:abstractNumId w:val="49"/>
  </w:num>
  <w:num w:numId="57">
    <w:abstractNumId w:val="40"/>
  </w:num>
  <w:num w:numId="58">
    <w:abstractNumId w:val="24"/>
  </w:num>
  <w:num w:numId="59">
    <w:abstractNumId w:val="41"/>
  </w:num>
  <w:num w:numId="60">
    <w:abstractNumId w:val="11"/>
  </w:num>
  <w:num w:numId="61">
    <w:abstractNumId w:val="53"/>
  </w:num>
  <w:num w:numId="62">
    <w:abstractNumId w:val="36"/>
  </w:num>
  <w:num w:numId="63">
    <w:abstractNumId w:val="50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2"/>
  </w:num>
  <w:num w:numId="69">
    <w:abstractNumId w:val="8"/>
  </w:num>
  <w:num w:numId="70">
    <w:abstractNumId w:val="26"/>
  </w:num>
  <w:num w:numId="71">
    <w:abstractNumId w:val="46"/>
  </w:num>
  <w:num w:numId="72">
    <w:abstractNumId w:val="28"/>
  </w:num>
  <w:num w:numId="73">
    <w:abstractNumId w:val="38"/>
  </w:num>
  <w:num w:numId="74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D7AC9"/>
    <w:rsid w:val="649753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4136</Words>
  <Characters>4339</Characters>
  <TotalTime>14</TotalTime>
  <ScaleCrop>false</ScaleCrop>
  <LinksUpToDate>false</LinksUpToDate>
  <CharactersWithSpaces>4577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2026-06-24T03:17:00Z</dcterms:created>
  <dc:creator>Apache POI</dc:creator>
  <cp:lastModifiedBy>高通法务</cp:lastModifiedBy>
  <dcterms:modified xsi:type="dcterms:W3CDTF">2026-06-24T03:33:18Z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{"Label":"1","ContentProducer":"001191110102MACQD9K64010000","ProduceID":"7654795954688658411","ReservedCode1":"","ContentPropagator":"","PropagateID":"","ReservedCode2":""}</vt:lpwstr>
  </property>
  <property fmtid="{D5CDD505-2E9C-101B-9397-08002B2CF9AE}" pid="3" name="KSOTemplateDocerSaveRecord">
    <vt:lpwstr>eyJoZGlkIjoiMDYyOWY0NTBjODM3ZGQwNTEwNGU1YWU5NjRkMWI1MmUiLCJ1c2VySWQiOiIzMTE0NDI2MjgifQ==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7CF9422E71FC4E2A9F0FFDE2D5C577D7_13</vt:lpwstr>
  </property>
</Properties>
</file>