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居家康复治疗仪+六师共管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超声电治疗康复设备+远程指导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卫健局的钱怎么花资金模式"/>
    <w:p>
      <w:pPr>
        <w:pStyle w:val="Heading2"/>
      </w:pPr>
      <w:r>
        <w:t xml:space="preserve">五、卫健局的钱怎么花？（资金模式）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卫健局监管账户（统一收付，全程可查）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├── 服务提供方（圆爱康）→ 执行居家康复</w:t>
      </w:r>
      <w:r>
        <w:br/>
      </w:r>
      <w:r>
        <w:rPr>
          <w:rStyle w:val="VerbatimChar"/>
        </w:rPr>
        <w:t xml:space="preserve">  └── 医院/社区（机构管理费）</w:t>
      </w:r>
    </w:p>
    <w:p>
      <w:pPr>
        <w:pStyle w:val="FirstParagraph"/>
      </w:pPr>
      <w:r>
        <w:rPr>
          <w:bCs/>
          <w:b/>
        </w:rPr>
        <w:t xml:space="preserve">给卫健局的好处：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按效果付费</w:t>
      </w:r>
      <w:r>
        <w:t xml:space="preserve"> </w:t>
      </w:r>
      <w:r>
        <w:t xml:space="preserve">— 做一例付一例，不做不付，不花冤枉钱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钱不过医院大账</w:t>
      </w:r>
      <w:r>
        <w:t xml:space="preserve"> </w:t>
      </w:r>
      <w:r>
        <w:t xml:space="preserve">— 通过监管账户直付，避免资金出不来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全区统一标准</w:t>
      </w:r>
      <w:r>
        <w:t xml:space="preserve"> </w:t>
      </w:r>
      <w:r>
        <w:t xml:space="preserve">— 价格透明，随时可审计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零运营负担</w:t>
      </w:r>
      <w:r>
        <w:t xml:space="preserve"> </w:t>
      </w:r>
      <w:r>
        <w:t xml:space="preserve">— 只管考核监督，不管日常运营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每个患者的康复进度，卫健局可随时查看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  <w:r>
        <w:t xml:space="preserve"> </w:t>
      </w: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  <w:r>
        <w:t xml:space="preserve"> </w:t>
      </w: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2026-06-01T10:17:07Z</dcterms:created>
  <dcterms:modified xsi:type="dcterms:W3CDTF">2026-06-01T10:17:07Z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