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圆爱康 · 心脏康复 套餐价格表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v4.1 · 2026-09-23 · 内部资料　｜　用途：销售随身带，见医院主任时用，主任在院内项目后打勾，当场形成本院价格</w:t>
      </w:r>
    </w:p>
    <w:p>
      <w:r>
        <w:rPr>
          <w:rFonts w:ascii="微软雅黑" w:hAnsi="微软雅黑" w:eastAsia="微软雅黑"/>
          <w:b/>
          <w:sz w:val="20"/>
        </w:rPr>
        <w:t>结构说明：居家部分拆成两条独立线，可自由组合。</w:t>
      </w:r>
    </w:p>
    <w:p>
      <w:r>
        <w:rPr>
          <w:rFonts w:ascii="微软雅黑" w:hAnsi="微软雅黑" w:eastAsia="微软雅黑"/>
          <w:sz w:val="18"/>
        </w:rPr>
        <w:t>线一 超声治疗 —— 选次数：20 / 30 / 40 / 60 / 80 / 100 次　｜　线二 运动康复 —— 选计划：静养 / 起步 / 标准 / 强化 / 长期</w:t>
        <w:br/>
        <w:t>价格 = 超声治疗价格（按次数） ＋ 医院勾选的院内项目加价　｜　运动康复随选，不加价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361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套餐名称</w:t>
            </w:r>
          </w:p>
        </w:tc>
        <w:tc>
          <w:tcPr>
            <w:tcW w:type="dxa" w:w="1020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超声治疗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（次数）</w:t>
            </w:r>
          </w:p>
        </w:tc>
        <w:tc>
          <w:tcPr>
            <w:tcW w:type="dxa" w:w="2268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运动康复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（勾选一个计划）</w:t>
            </w:r>
          </w:p>
        </w:tc>
        <w:tc>
          <w:tcPr>
            <w:tcW w:type="dxa" w:w="7654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院内可选项目（医院勾选·勾了加价）</w:t>
            </w:r>
          </w:p>
        </w:tc>
        <w:tc>
          <w:tcPr>
            <w:tcW w:type="dxa" w:w="1304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价格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套餐一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六分钟步行试验　☐ 心脏彩超／射血分数　☐ 动态心电图 Holter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血脂血糖等化验　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套餐二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六分钟步行试验　☐ 心脏彩超／射血分数　☐ 动态心电图 Holter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血脂血糖等化验　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套餐三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心肺运动试验 CPET　☐ 六分钟步行试验　☐ 心脏彩超／射血分数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动态心电图 Holter　☐ 血脂血糖等化验　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套餐四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体外反搏 EECP　☐ 心肺运动试验 CPET　☐ 六分钟步行试验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心脏彩超／射血分数　☐ 动态心电图 Holter　☐ 运动负荷心电图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血脂血糖等化验　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套餐五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体外反搏 EECP　☐ 心肺运动试验 CPET　☐ 六分钟步行试验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心脏彩超／射血分数　☐ 动态心电图 Holter　☐ 运动负荷心电图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血脂血糖等化验　☐ 心理状态量表　☐ 睡眠呼吸评估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冠心病</w:t>
            </w:r>
          </w:p>
          <w:p>
            <w:pPr>
              <w:spacing w:before="0" w:after="20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套餐六</w:t>
            </w:r>
          </w:p>
        </w:tc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 次</w:t>
            </w:r>
          </w:p>
        </w:tc>
        <w:tc>
          <w:tcPr>
            <w:tcW w:type="dxa" w:w="226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静养计划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起步计划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标准计划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强化计划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长期计划</w:t>
            </w:r>
          </w:p>
        </w:tc>
        <w:tc>
          <w:tcPr>
            <w:tcW w:type="dxa" w:w="765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☐ 体外反搏 EECP　☐ 心肺运动试验 CPET　☐ 六分钟步行试验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心脏彩超／射血分数　☐ 动态心电图 Holter　☐ 运动负荷心电图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血脂血糖等化验　☐ 心理状态量表　☐ 睡眠呼吸评估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ADL 日常生活能力评估　☐ 躯体化症状评估</w:t>
            </w:r>
          </w:p>
          <w:p>
            <w:pPr>
              <w:spacing w:before="0" w:after="20"/>
              <w:jc w:val="left"/>
            </w:pPr>
            <w:r>
              <w:rPr>
                <w:rFonts w:ascii="微软雅黑" w:hAnsi="微软雅黑" w:eastAsia="微软雅黑"/>
                <w:b w:val="0"/>
                <w:sz w:val="17"/>
              </w:rPr>
              <w:t>☐ 营养体重管理处方　☐ 运动处方</w:t>
            </w:r>
          </w:p>
        </w:tc>
        <w:tc>
          <w:tcPr>
            <w:tcW w:type="dxa" w:w="13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¥ 待定</w:t>
            </w:r>
          </w:p>
        </w:tc>
      </w:tr>
    </w:tbl>
    <w:p>
      <w:pPr>
        <w:jc w:val="right"/>
      </w:pPr>
      <w:r>
        <w:rPr>
          <w:rFonts w:ascii="微软雅黑" w:hAnsi="微软雅黑" w:eastAsia="微软雅黑"/>
          <w:b/>
          <w:sz w:val="22"/>
        </w:rPr>
        <w:t>总价格：______________ 元　（超声治疗价格 ＋ 医院勾选院内项目加价）</w:t>
      </w:r>
    </w:p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附：五个运动康复计划（选择参考）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361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计划</w:t>
            </w:r>
          </w:p>
        </w:tc>
        <w:tc>
          <w:tcPr>
            <w:tcW w:type="dxa" w:w="3118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患者状态</w:t>
            </w:r>
          </w:p>
        </w:tc>
        <w:tc>
          <w:tcPr>
            <w:tcW w:type="dxa" w:w="907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动作数</w:t>
            </w:r>
          </w:p>
        </w:tc>
        <w:tc>
          <w:tcPr>
            <w:tcW w:type="dxa" w:w="1361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默认每天时长</w:t>
            </w:r>
          </w:p>
        </w:tc>
        <w:tc>
          <w:tcPr>
            <w:tcW w:type="dxa" w:w="6860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包含动作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静养计划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术后当日／活动受限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 分钟</w:t>
            </w:r>
          </w:p>
        </w:tc>
        <w:tc>
          <w:tcPr>
            <w:tcW w:type="dxa" w:w="6860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腹式呼吸、缩唇呼吸、坐位踝泵、运动后自测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起步计划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术后1-2周／日常活动有气短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 分钟</w:t>
            </w:r>
          </w:p>
        </w:tc>
        <w:tc>
          <w:tcPr>
            <w:tcW w:type="dxa" w:w="6860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腹式呼吸、坐位肩颈放松、原地踏步、站立提踵、运动后自测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标准计划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术后2-8周／稳定冠心病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 分钟</w:t>
            </w:r>
          </w:p>
        </w:tc>
        <w:tc>
          <w:tcPr>
            <w:tcW w:type="dxa" w:w="6860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腹式呼吸、坐位肩颈放松、室内慢走、坐位抬腿、运动后自测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强化计划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术后2-3月起／希望恢复运动能力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 分钟</w:t>
            </w:r>
          </w:p>
        </w:tc>
        <w:tc>
          <w:tcPr>
            <w:tcW w:type="dxa" w:w="6860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腹式呼吸、肩颈放松、室内慢走、快走、坐位抬腿、靠墙静蹲、八段锦、太极拳、运动后自测</w:t>
            </w:r>
          </w:p>
        </w:tc>
      </w:tr>
      <w:tr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长期计划</w:t>
            </w:r>
          </w:p>
        </w:tc>
        <w:tc>
          <w:tcPr>
            <w:tcW w:type="dxa" w:w="311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长期维持／高血压糖尿病合并风险</w:t>
            </w:r>
          </w:p>
        </w:tc>
        <w:tc>
          <w:tcPr>
            <w:tcW w:type="dxa" w:w="907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 分钟</w:t>
            </w:r>
          </w:p>
        </w:tc>
        <w:tc>
          <w:tcPr>
            <w:tcW w:type="dxa" w:w="6860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全套 14 个动作自由组合</w:t>
            </w:r>
          </w:p>
        </w:tc>
      </w:tr>
    </w:tbl>
    <w:p>
      <w:r>
        <w:br w:type="page"/>
      </w:r>
    </w:p>
    <w:p>
      <w:r>
        <w:rPr>
          <w:rFonts w:ascii="微软雅黑" w:hAnsi="微软雅黑" w:eastAsia="微软雅黑"/>
          <w:b/>
          <w:sz w:val="24"/>
        </w:rPr>
        <w:t>附：院内可选项目清单（医院勾选用）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1701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11906"/>
            <w:shd w:fill="D9E2F3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项目内容（医院认为可一并开展的，在价格表中打勾）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评估检查类</w:t>
            </w:r>
          </w:p>
        </w:tc>
        <w:tc>
          <w:tcPr>
            <w:tcW w:type="dxa" w:w="119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心肺运动试验 CPET（院内运动心肺功能评估，确定安全运动阈值）；六分钟步行试验（院内活动耐力评估）；运动负荷心电图（心肌缺血筛查）；心脏彩超／射血分数（结构功能评估）；动态心电图 Holter（心律评估）；血脂血糖等化验（危险因素评估）；心理状态量表（焦虑抑郁筛查）；睡眠呼吸评估（睡眠呼吸暂停排查）；ADL 日常生活能力评估（自理能力评估）；躯体化症状评估（躯体化量表筛查）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院内治疗类</w:t>
            </w:r>
          </w:p>
        </w:tc>
        <w:tc>
          <w:tcPr>
            <w:tcW w:type="dxa" w:w="119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体外反搏 EECP（院内体外反搏治疗，每次约半小时）；其他院内现有治疗（由医院填写）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处方类</w:t>
            </w:r>
          </w:p>
        </w:tc>
        <w:tc>
          <w:tcPr>
            <w:tcW w:type="dxa" w:w="119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运动处方（运动方案制定，与动作套组配套）；营养体重管理处方（营养与体重管理方案）</w:t>
            </w:r>
          </w:p>
        </w:tc>
      </w:tr>
    </w:tbl>
    <w:p>
      <w:r>
        <w:rPr>
          <w:rFonts w:ascii="微软雅黑" w:hAnsi="微软雅黑" w:eastAsia="微软雅黑"/>
          <w:sz w:val="18"/>
        </w:rPr>
        <w:t>说明：院内项目由医院自行定价与执行，圆爱康不参与该部分定价。医院有什么勾什么，没有不勾，不强制。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