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E37F0">
      <w:pPr>
        <w:jc w:val="center"/>
        <w:rPr>
          <w:rFonts w:asciiTheme="majorEastAsia" w:hAnsiTheme="majorEastAsia" w:eastAsiaTheme="majorEastAsia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bookmarkStart w:id="0" w:name="OLE_LINK1"/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便携式生物反馈电刺激治疗仪</w:t>
      </w:r>
      <w:bookmarkEnd w:id="0"/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（ESA-F01）</w:t>
      </w:r>
    </w:p>
    <w:p w14:paraId="28D35FA3">
      <w:pPr>
        <w:jc w:val="center"/>
        <w:rPr>
          <w:rFonts w:asciiTheme="majorEastAsia" w:hAnsiTheme="majorEastAsia" w:eastAsiaTheme="majorEastAsia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合作协议</w:t>
      </w:r>
    </w:p>
    <w:p w14:paraId="391B4C2E">
      <w:pPr>
        <w:rPr>
          <w:rFonts w:asciiTheme="majorEastAsia" w:hAnsiTheme="majorEastAsia" w:eastAsiaTheme="majorEastAsia"/>
          <w:b/>
          <w:bCs/>
          <w:color w:val="000000" w:themeColor="text1"/>
          <w:sz w:val="36"/>
          <w:szCs w:val="40"/>
          <w14:textFill>
            <w14:solidFill>
              <w14:schemeClr w14:val="tx1"/>
            </w14:solidFill>
          </w14:textFill>
        </w:rPr>
      </w:pPr>
    </w:p>
    <w:p w14:paraId="5FAC37EE">
      <w:pPr>
        <w:rPr>
          <w:rFonts w:asciiTheme="majorEastAsia" w:hAnsiTheme="majorEastAsia" w:eastAsiaTheme="majorEastAsia"/>
          <w:b/>
          <w:bCs/>
          <w:color w:val="000000" w:themeColor="text1"/>
          <w:sz w:val="36"/>
          <w:szCs w:val="40"/>
          <w14:textFill>
            <w14:solidFill>
              <w14:schemeClr w14:val="tx1"/>
            </w14:solidFill>
          </w14:textFill>
        </w:rPr>
      </w:pPr>
    </w:p>
    <w:p w14:paraId="6BF7A391">
      <w:pPr>
        <w:rPr>
          <w:rFonts w:asciiTheme="majorEastAsia" w:hAnsiTheme="majorEastAsia" w:eastAsiaTheme="majorEastAsia"/>
          <w:b/>
          <w:bCs/>
          <w:color w:val="000000" w:themeColor="text1"/>
          <w:sz w:val="36"/>
          <w:szCs w:val="40"/>
          <w14:textFill>
            <w14:solidFill>
              <w14:schemeClr w14:val="tx1"/>
            </w14:solidFill>
          </w14:textFill>
        </w:rPr>
      </w:pPr>
    </w:p>
    <w:p w14:paraId="1E7EB3C6">
      <w:pPr>
        <w:rPr>
          <w:rFonts w:asciiTheme="majorEastAsia" w:hAnsiTheme="majorEastAsia" w:eastAsiaTheme="majorEastAsia"/>
          <w:b/>
          <w:bCs/>
          <w:color w:val="000000" w:themeColor="text1"/>
          <w:sz w:val="36"/>
          <w:szCs w:val="40"/>
          <w14:textFill>
            <w14:solidFill>
              <w14:schemeClr w14:val="tx1"/>
            </w14:solidFill>
          </w14:textFill>
        </w:rPr>
      </w:pPr>
    </w:p>
    <w:p w14:paraId="0A45F2EF">
      <w:pPr>
        <w:rPr>
          <w:rFonts w:asciiTheme="majorEastAsia" w:hAnsiTheme="majorEastAsia" w:eastAsiaTheme="majorEastAsia"/>
          <w:b/>
          <w:bCs/>
          <w:color w:val="000000" w:themeColor="text1"/>
          <w:sz w:val="36"/>
          <w:szCs w:val="40"/>
          <w14:textFill>
            <w14:solidFill>
              <w14:schemeClr w14:val="tx1"/>
            </w14:solidFill>
          </w14:textFill>
        </w:rPr>
      </w:pPr>
    </w:p>
    <w:p w14:paraId="1DEDE790">
      <w:pPr>
        <w:rPr>
          <w:rFonts w:asciiTheme="majorEastAsia" w:hAnsiTheme="majorEastAsia" w:eastAsiaTheme="majorEastAsia"/>
          <w:b/>
          <w:bCs/>
          <w:color w:val="000000" w:themeColor="text1"/>
          <w:sz w:val="36"/>
          <w:szCs w:val="40"/>
          <w14:textFill>
            <w14:solidFill>
              <w14:schemeClr w14:val="tx1"/>
            </w14:solidFill>
          </w14:textFill>
        </w:rPr>
      </w:pPr>
    </w:p>
    <w:p w14:paraId="71B79B3A">
      <w:pPr>
        <w:rPr>
          <w:rFonts w:asciiTheme="majorEastAsia" w:hAnsiTheme="majorEastAsia" w:eastAsiaTheme="majorEastAsia"/>
          <w:b/>
          <w:bCs/>
          <w:color w:val="000000" w:themeColor="text1"/>
          <w:sz w:val="36"/>
          <w:szCs w:val="40"/>
          <w14:textFill>
            <w14:solidFill>
              <w14:schemeClr w14:val="tx1"/>
            </w14:solidFill>
          </w14:textFill>
        </w:rPr>
      </w:pPr>
    </w:p>
    <w:p w14:paraId="249013AC">
      <w:pPr>
        <w:spacing w:line="360" w:lineRule="auto"/>
        <w:jc w:val="left"/>
        <w:rPr>
          <w:rFonts w:cs="宋体" w:asciiTheme="majorEastAsia" w:hAnsiTheme="majorEastAsia" w:eastAsiaTheme="maj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ajorEastAsia" w:hAnsiTheme="majorEastAsia" w:eastAsiaTheme="maj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甲方: XXXXX医院（以下简称“甲方”）</w:t>
      </w:r>
    </w:p>
    <w:p w14:paraId="064A54ED">
      <w:pPr>
        <w:jc w:val="left"/>
        <w:rPr>
          <w:rFonts w:cs="宋体" w:asciiTheme="majorEastAsia" w:hAnsiTheme="majorEastAsia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A0DB1E4">
      <w:pPr>
        <w:jc w:val="left"/>
        <w:rPr>
          <w:rFonts w:cs="宋体" w:asciiTheme="majorEastAsia" w:hAnsiTheme="majorEastAsia"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_GoBack"/>
      <w:bookmarkEnd w:id="1"/>
    </w:p>
    <w:p w14:paraId="05E96E82">
      <w:pPr>
        <w:spacing w:line="360" w:lineRule="auto"/>
        <w:jc w:val="left"/>
        <w:rPr>
          <w:rFonts w:cs="宋体" w:asciiTheme="majorEastAsia" w:hAnsiTheme="majorEastAsia" w:eastAsiaTheme="maj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ajorEastAsia" w:hAnsiTheme="majorEastAsia" w:eastAsiaTheme="maj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乙方：广州圆爱康生物科技有限公司</w:t>
      </w:r>
    </w:p>
    <w:p w14:paraId="06572A87">
      <w:pPr>
        <w:spacing w:line="360" w:lineRule="auto"/>
        <w:jc w:val="left"/>
        <w:rPr>
          <w:rFonts w:cs="宋体" w:asciiTheme="majorEastAsia" w:hAnsiTheme="majorEastAsia" w:eastAsiaTheme="maj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ajorEastAsia" w:hAnsiTheme="majorEastAsia" w:eastAsiaTheme="maj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（以下简称“乙方”）</w:t>
      </w:r>
    </w:p>
    <w:p w14:paraId="218BB6A0">
      <w:pPr>
        <w:spacing w:line="360" w:lineRule="auto"/>
        <w:jc w:val="left"/>
        <w:rPr>
          <w:rFonts w:cs="宋体" w:asciiTheme="majorEastAsia" w:hAnsiTheme="majorEastAsia" w:eastAsiaTheme="maj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D7F664">
      <w:pPr>
        <w:spacing w:line="360" w:lineRule="auto"/>
        <w:jc w:val="left"/>
        <w:rPr>
          <w:rFonts w:cs="宋体" w:asciiTheme="majorEastAsia" w:hAnsiTheme="majorEastAsia" w:eastAsiaTheme="maj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A1B1E1A">
      <w:pPr>
        <w:spacing w:line="360" w:lineRule="auto"/>
        <w:jc w:val="left"/>
        <w:rPr>
          <w:rFonts w:cs="宋体" w:asciiTheme="majorEastAsia" w:hAnsiTheme="majorEastAsia" w:eastAsiaTheme="maj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ajorEastAsia" w:hAnsiTheme="majorEastAsia" w:eastAsiaTheme="maj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丙方：XXXX第三方平台（以下简称“丙方”）</w:t>
      </w:r>
    </w:p>
    <w:p w14:paraId="614042F6">
      <w:pPr>
        <w:spacing w:line="360" w:lineRule="auto"/>
        <w:rPr>
          <w:rFonts w:asciiTheme="majorEastAsia" w:hAnsiTheme="majorEastAsia" w:eastAsiaTheme="major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BE5048D">
      <w:pPr>
        <w:ind w:firstLine="560" w:firstLineChars="200"/>
        <w:jc w:val="left"/>
        <w:rPr>
          <w:rFonts w:hint="eastAsia" w:asciiTheme="majorEastAsia" w:hAnsiTheme="majorEastAsia" w:eastAsiaTheme="majorEastAsi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5EEF7255">
      <w:pPr>
        <w:ind w:firstLine="560" w:firstLineChars="200"/>
        <w:jc w:val="left"/>
        <w:rPr>
          <w:rFonts w:hint="eastAsia" w:asciiTheme="majorEastAsia" w:hAnsiTheme="majorEastAsia" w:eastAsiaTheme="majorEastAsi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3AE3DE73">
      <w:pPr>
        <w:ind w:firstLine="560" w:firstLineChars="200"/>
        <w:jc w:val="left"/>
        <w:rPr>
          <w:rFonts w:asciiTheme="majorEastAsia" w:hAnsiTheme="majorEastAsia" w:eastAsiaTheme="majorEastAsi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甲乙丙三方为推动“互联网+护理服务”项目在 </w:t>
      </w:r>
      <w:r>
        <w:rPr>
          <w:rFonts w:hint="eastAsia" w:asciiTheme="majorEastAsia" w:hAnsiTheme="majorEastAsia" w:eastAsiaTheme="majorEastAsia"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ajorEastAsia" w:hAnsiTheme="majorEastAsia" w:eastAsiaTheme="majorEastAsia"/>
          <w:color w:val="000000" w:themeColor="text1"/>
          <w:sz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Theme="majorEastAsia" w:hAnsiTheme="majorEastAsia" w:eastAsiaTheme="majorEastAsia"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ajorEastAsia" w:hAnsiTheme="majorEastAsia" w:eastAsiaTheme="major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市的发展水平，提升医疗资源利用率，响应国家政策和十四五规划，充分发挥三方优势，优势互补，提高竞争力，经甲乙丙三方共同友好协商，现就</w:t>
      </w:r>
      <w:r>
        <w:rPr>
          <w:rFonts w:hint="eastAsia" w:cs="宋体" w:asciiTheme="majorEastAsia" w:hAnsiTheme="majorEastAsia" w:eastAsiaTheme="maj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XXXXX医院</w:t>
      </w:r>
      <w:r>
        <w:rPr>
          <w:rFonts w:hint="eastAsia" w:asciiTheme="majorEastAsia" w:hAnsiTheme="majorEastAsia" w:eastAsiaTheme="major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“互联网+护理服务”项目下的</w:t>
      </w:r>
      <w:r>
        <w:rPr>
          <w:rFonts w:hint="eastAsia" w:asciiTheme="majorEastAsia" w:hAnsiTheme="majorEastAsia" w:eastAsiaTheme="majorEastAsia"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>便携式生物反馈电刺激治疗仪ESA-F01租赁服务</w:t>
      </w:r>
      <w:r>
        <w:rPr>
          <w:rFonts w:hint="eastAsia" w:asciiTheme="majorEastAsia" w:hAnsiTheme="majorEastAsia" w:eastAsiaTheme="major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项目达成战略合作伙伴关系，依照《中华人民共和国民法典》及有关法律、法规，遵循平等、自愿、公平和诚实信用的原则，达成如下协议：</w:t>
      </w:r>
    </w:p>
    <w:p w14:paraId="5177787D">
      <w:pPr>
        <w:ind w:firstLine="480"/>
        <w:jc w:val="left"/>
        <w:rPr>
          <w:rFonts w:asciiTheme="majorEastAsia" w:hAnsiTheme="majorEastAsia" w:eastAsiaTheme="major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B26E74F">
      <w:pPr>
        <w:pStyle w:val="22"/>
        <w:numPr>
          <w:ilvl w:val="255"/>
          <w:numId w:val="0"/>
        </w:numPr>
        <w:jc w:val="left"/>
        <w:rPr>
          <w:rFonts w:asciiTheme="majorEastAsia" w:hAnsiTheme="majorEastAsia" w:eastAsiaTheme="major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一、合作内容</w:t>
      </w:r>
    </w:p>
    <w:p w14:paraId="24A567C8">
      <w:pPr>
        <w:spacing w:line="360" w:lineRule="auto"/>
        <w:rPr>
          <w:rFonts w:asciiTheme="majorEastAsia" w:hAnsiTheme="majorEastAsia" w:eastAsiaTheme="major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1、甲方权利与义务</w:t>
      </w:r>
    </w:p>
    <w:p w14:paraId="4932FABD">
      <w:pP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1.1甲方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保证合法持有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与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开展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本次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合作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相符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的医疗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机构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资质；</w:t>
      </w:r>
    </w:p>
    <w:p w14:paraId="32F7AF05">
      <w:pP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1.2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甲方负责项目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开展过程中医疗服务质量管控；</w:t>
      </w:r>
    </w:p>
    <w:p w14:paraId="7E2E9F26">
      <w:p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.3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甲方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有权对乙方运营支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持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人员服务中出现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的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违规现象，进行监督教育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等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。</w:t>
      </w:r>
    </w:p>
    <w:p w14:paraId="2AEEB2EB">
      <w:pPr>
        <w:tabs>
          <w:tab w:val="left" w:pos="-840"/>
        </w:tabs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.4甲方的护理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服务规定如有变更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应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及时告知乙方，以便乙方及时调整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服务内容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。</w:t>
      </w:r>
    </w:p>
    <w:p w14:paraId="42D773DC">
      <w:pPr>
        <w:rPr>
          <w:rFonts w:asciiTheme="majorEastAsia" w:hAnsiTheme="majorEastAsia" w:eastAsiaTheme="major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2、乙方权利与义务</w:t>
      </w:r>
    </w:p>
    <w:p w14:paraId="145BB099">
      <w:pP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2.1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乙方为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甲方提供相关硬件设施与耗材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如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便携式生物反馈电刺激治疗仪（型号：ESA-F01）等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，同时硬件设施与耗材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需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符合医院科室的标准，乙方也必须具备医疗器械经营相关资质。</w:t>
      </w:r>
    </w:p>
    <w:p w14:paraId="0CF7275F">
      <w:pP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2.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乙方配置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硬件设施的运维人员，负责硬件设施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投入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使用后的运维保障，快速响应医院和患者的需求，包括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但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不限于测试、保养等，由此产生的费用由乙方自行承担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，甲、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丙方无需承担。</w:t>
      </w:r>
    </w:p>
    <w:p w14:paraId="4D67096F">
      <w:pP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2.3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乙方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需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配合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甲方进行宣传推广，及时提供产品更新迭代的各类信息，便于甲方的宣传工作开展。</w:t>
      </w:r>
    </w:p>
    <w:p w14:paraId="4688D1FB">
      <w:pP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2.4乙方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需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提供相关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硬件设施与耗材的售后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服务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工作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包括但不限于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维修、换新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服务；因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非人为原因出现的硬件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设施和耗材损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坏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情况，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由乙方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提供免费维修和更换服务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由此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产生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的费用由乙方自行承担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，甲、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丙方无需承担。</w:t>
      </w:r>
    </w:p>
    <w:p w14:paraId="67130C90">
      <w:pP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2.5乙方需给予甲方提供关于携式生物反馈电刺激治疗仪（型号：ESA-F01）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的使用操作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全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流程的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免费培训等；</w:t>
      </w:r>
    </w:p>
    <w:p w14:paraId="24E405ED">
      <w:pP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.6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乙方需保障患者治疗过程中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产生的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售后问题处理，同时协助医护对生物反馈电刺激治疗仪（型号：ESA-F01）及其耗材和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治疗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方案等问题进行解答；</w:t>
      </w:r>
    </w:p>
    <w:p w14:paraId="1F9AF601">
      <w:pP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.7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乙方需确保患者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在使用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生物反馈电刺激治疗仪ESA-F01时的稳定可靠性、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有效性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；</w:t>
      </w:r>
    </w:p>
    <w:p w14:paraId="0E488BDD">
      <w:pPr>
        <w:spacing w:line="360" w:lineRule="auto"/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2.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乙方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甲方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需必要时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，如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硬件设施无法正常运行，患者无法继续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使用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导致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纠纷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的时候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，需在2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小时内进行线上远程答疑解决，必需现场解决的问题在两天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内到医院现场开展工作，保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证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设备的正常使用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，由此产生的差旅费用由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乙方自行承担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，甲、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丙方无需承担。</w:t>
      </w:r>
    </w:p>
    <w:p w14:paraId="62223588">
      <w:pPr>
        <w:spacing w:line="360" w:lineRule="auto"/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2.9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仪器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提供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和回收方式</w:t>
      </w:r>
    </w:p>
    <w:p w14:paraId="3FC00D58">
      <w:pPr>
        <w:numPr>
          <w:ilvl w:val="255"/>
          <w:numId w:val="0"/>
        </w:num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患者获取设备的方式：</w:t>
      </w:r>
    </w:p>
    <w:p w14:paraId="0F7EA81C">
      <w:pPr>
        <w:numPr>
          <w:ilvl w:val="255"/>
          <w:numId w:val="0"/>
        </w:num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a.线上购买：患者线上购买“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互联网+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护理服务”项目，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医护人员按照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，按照订单上的地址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及预约时间出诊，将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仪器给患者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并进行首次指导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。</w:t>
      </w:r>
    </w:p>
    <w:p w14:paraId="6D22EEA3">
      <w:pPr>
        <w:numPr>
          <w:ilvl w:val="255"/>
          <w:numId w:val="0"/>
        </w:numPr>
        <w:spacing w:line="360" w:lineRule="auto"/>
        <w:ind w:left="280" w:hanging="280" w:hangingChars="100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b.现场购买：患者线上购买“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互联网+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护理服务”项目，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患者可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现场领取居家治疗设备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医护人员对其进行首次指导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。</w:t>
      </w:r>
    </w:p>
    <w:p w14:paraId="74C8724E">
      <w:pPr>
        <w:numPr>
          <w:ilvl w:val="255"/>
          <w:numId w:val="0"/>
        </w:num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设备到期，患者退租设备：</w:t>
      </w:r>
    </w:p>
    <w:p w14:paraId="62A6EADA">
      <w:pPr>
        <w:numPr>
          <w:ilvl w:val="255"/>
          <w:numId w:val="0"/>
        </w:numPr>
        <w:spacing w:line="360" w:lineRule="auto"/>
        <w:ind w:left="280" w:hanging="280" w:hangingChars="100"/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c.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退租设备的流程:患者租期满后，按照乙方与患者间签署的《生物</w:t>
      </w:r>
    </w:p>
    <w:p w14:paraId="5DFC0AF4">
      <w:pPr>
        <w:numPr>
          <w:ilvl w:val="255"/>
          <w:numId w:val="0"/>
        </w:numPr>
        <w:spacing w:line="360" w:lineRule="auto"/>
        <w:ind w:left="280" w:hanging="280" w:hangingChars="100"/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反馈电刺激治疗仪(ESA-F01)租赁合同》相关条款患者邮寄设备</w:t>
      </w:r>
    </w:p>
    <w:p w14:paraId="12A44782">
      <w:pPr>
        <w:numPr>
          <w:ilvl w:val="255"/>
          <w:numId w:val="0"/>
        </w:numPr>
        <w:spacing w:line="360" w:lineRule="auto"/>
        <w:ind w:left="280" w:hanging="280" w:hangingChars="100"/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到乙方指定的地址，乙方收到机器检测完成后，乙方会出具一个盖</w:t>
      </w:r>
    </w:p>
    <w:p w14:paraId="0795BF9C">
      <w:pPr>
        <w:numPr>
          <w:ilvl w:val="255"/>
          <w:numId w:val="0"/>
        </w:numPr>
        <w:spacing w:line="360" w:lineRule="auto"/>
        <w:ind w:left="280" w:hanging="280" w:hangingChars="100"/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乙方公司章的“回收机器验收表”的文件，根据验收结果按照乙方</w:t>
      </w:r>
    </w:p>
    <w:p w14:paraId="48023418">
      <w:pPr>
        <w:numPr>
          <w:ilvl w:val="255"/>
          <w:numId w:val="0"/>
        </w:numPr>
        <w:spacing w:line="360" w:lineRule="auto"/>
        <w:ind w:left="280" w:hanging="280" w:hangingChars="100"/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与患者间签署的《生物反馈电刺激治疗仪(ESA-F01)租赁合同》</w:t>
      </w:r>
    </w:p>
    <w:p w14:paraId="0500CBF2">
      <w:pPr>
        <w:numPr>
          <w:ilvl w:val="255"/>
          <w:numId w:val="0"/>
        </w:numPr>
        <w:spacing w:line="360" w:lineRule="auto"/>
        <w:ind w:left="280" w:hanging="280" w:hangingChars="100"/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的相关条款处理相关事宜。</w:t>
      </w:r>
    </w:p>
    <w:p w14:paraId="49EE4852">
      <w:pPr>
        <w:rPr>
          <w:rFonts w:asciiTheme="majorEastAsia" w:hAnsiTheme="majorEastAsia" w:eastAsiaTheme="majorEastAsia"/>
          <w:b/>
          <w:color w:val="auto"/>
          <w:sz w:val="28"/>
        </w:rPr>
      </w:pPr>
      <w:r>
        <w:rPr>
          <w:rFonts w:hint="eastAsia" w:asciiTheme="majorEastAsia" w:hAnsiTheme="majorEastAsia" w:eastAsiaTheme="majorEastAsia"/>
          <w:b/>
          <w:color w:val="auto"/>
          <w:sz w:val="28"/>
        </w:rPr>
        <w:t>3、丙方权利与义务</w:t>
      </w:r>
    </w:p>
    <w:p w14:paraId="1080FF5A">
      <w:pPr>
        <w:rPr>
          <w:rFonts w:asciiTheme="majorEastAsia" w:hAnsiTheme="majorEastAsia" w:eastAsiaTheme="majorEastAsia"/>
          <w:bCs/>
          <w:color w:val="auto"/>
          <w:sz w:val="28"/>
          <w:szCs w:val="32"/>
        </w:rPr>
      </w:pPr>
      <w:r>
        <w:rPr>
          <w:rFonts w:asciiTheme="majorEastAsia" w:hAnsiTheme="majorEastAsia" w:eastAsiaTheme="majorEastAsia"/>
          <w:bCs/>
          <w:color w:val="auto"/>
          <w:sz w:val="28"/>
          <w:szCs w:val="32"/>
        </w:rPr>
        <w:t>3.1</w:t>
      </w:r>
      <w:r>
        <w:rPr>
          <w:rFonts w:hint="eastAsia" w:asciiTheme="majorEastAsia" w:hAnsiTheme="majorEastAsia" w:eastAsiaTheme="majorEastAsia"/>
          <w:bCs/>
          <w:color w:val="auto"/>
          <w:sz w:val="28"/>
          <w:szCs w:val="32"/>
        </w:rPr>
        <w:t>丙方协助甲方将有效的医疗资源通过院外</w:t>
      </w:r>
      <w:r>
        <w:rPr>
          <w:rFonts w:asciiTheme="majorEastAsia" w:hAnsiTheme="majorEastAsia" w:eastAsiaTheme="majorEastAsia"/>
          <w:bCs/>
          <w:color w:val="auto"/>
          <w:sz w:val="28"/>
          <w:szCs w:val="32"/>
        </w:rPr>
        <w:t>延</w:t>
      </w:r>
      <w:r>
        <w:rPr>
          <w:rFonts w:hint="eastAsia" w:asciiTheme="majorEastAsia" w:hAnsiTheme="majorEastAsia" w:eastAsiaTheme="majorEastAsia"/>
          <w:bCs/>
          <w:color w:val="auto"/>
          <w:sz w:val="28"/>
          <w:szCs w:val="32"/>
        </w:rPr>
        <w:t>续护理服务平台辐射至更多有需要的患者；</w:t>
      </w:r>
    </w:p>
    <w:p w14:paraId="50F1DDBC">
      <w:pPr>
        <w:rPr>
          <w:rFonts w:asciiTheme="majorEastAsia" w:hAnsiTheme="majorEastAsia" w:eastAsiaTheme="majorEastAsia"/>
          <w:color w:val="auto"/>
          <w:sz w:val="28"/>
          <w:szCs w:val="32"/>
        </w:rPr>
      </w:pPr>
      <w:r>
        <w:rPr>
          <w:rFonts w:asciiTheme="majorEastAsia" w:hAnsiTheme="majorEastAsia" w:eastAsiaTheme="majorEastAsia"/>
          <w:color w:val="auto"/>
          <w:sz w:val="28"/>
          <w:szCs w:val="32"/>
        </w:rPr>
        <w:t>3.2</w:t>
      </w:r>
      <w:r>
        <w:rPr>
          <w:rFonts w:hint="eastAsia" w:asciiTheme="majorEastAsia" w:hAnsiTheme="majorEastAsia" w:eastAsiaTheme="majorEastAsia"/>
          <w:color w:val="auto"/>
          <w:sz w:val="28"/>
          <w:szCs w:val="32"/>
        </w:rPr>
        <w:t>以患者优先的原则，协助甲方按照乙方与患者间签署的《生物反馈电刺激治疗仪（</w:t>
      </w:r>
      <w:r>
        <w:rPr>
          <w:rFonts w:asciiTheme="majorEastAsia" w:hAnsiTheme="majorEastAsia" w:eastAsiaTheme="majorEastAsia"/>
          <w:color w:val="auto"/>
          <w:sz w:val="28"/>
          <w:szCs w:val="32"/>
        </w:rPr>
        <w:t>ESA-F01）租赁合同》</w:t>
      </w:r>
      <w:r>
        <w:rPr>
          <w:rFonts w:hint="eastAsia" w:asciiTheme="majorEastAsia" w:hAnsiTheme="majorEastAsia" w:eastAsiaTheme="majorEastAsia"/>
          <w:color w:val="auto"/>
          <w:sz w:val="28"/>
          <w:szCs w:val="32"/>
        </w:rPr>
        <w:t>进行相应</w:t>
      </w:r>
      <w:r>
        <w:rPr>
          <w:rFonts w:asciiTheme="majorEastAsia" w:hAnsiTheme="majorEastAsia" w:eastAsiaTheme="majorEastAsia"/>
          <w:color w:val="auto"/>
          <w:sz w:val="28"/>
          <w:szCs w:val="32"/>
        </w:rPr>
        <w:t>的</w:t>
      </w:r>
      <w:r>
        <w:rPr>
          <w:rFonts w:hint="eastAsia" w:asciiTheme="majorEastAsia" w:hAnsiTheme="majorEastAsia" w:eastAsiaTheme="majorEastAsia"/>
          <w:color w:val="auto"/>
          <w:sz w:val="28"/>
          <w:szCs w:val="32"/>
        </w:rPr>
        <w:t>退款等事宜。</w:t>
      </w:r>
    </w:p>
    <w:p w14:paraId="20B0D82E">
      <w:pPr>
        <w:spacing w:line="360" w:lineRule="auto"/>
        <w:rPr>
          <w:rFonts w:asciiTheme="majorEastAsia" w:hAnsiTheme="majorEastAsia" w:eastAsiaTheme="majorEastAsia"/>
          <w:color w:val="auto"/>
          <w:sz w:val="28"/>
          <w:szCs w:val="32"/>
        </w:rPr>
      </w:pPr>
      <w:r>
        <w:rPr>
          <w:rFonts w:hint="eastAsia" w:asciiTheme="majorEastAsia" w:hAnsiTheme="majorEastAsia" w:eastAsiaTheme="majorEastAsia"/>
          <w:color w:val="auto"/>
          <w:sz w:val="28"/>
          <w:szCs w:val="32"/>
        </w:rPr>
        <w:t>3</w:t>
      </w:r>
      <w:r>
        <w:rPr>
          <w:rFonts w:asciiTheme="majorEastAsia" w:hAnsiTheme="majorEastAsia" w:eastAsiaTheme="majorEastAsia"/>
          <w:color w:val="auto"/>
          <w:sz w:val="28"/>
          <w:szCs w:val="32"/>
        </w:rPr>
        <w:t xml:space="preserve">.3 </w:t>
      </w:r>
      <w:r>
        <w:rPr>
          <w:rFonts w:hint="eastAsia" w:asciiTheme="majorEastAsia" w:hAnsiTheme="majorEastAsia" w:eastAsiaTheme="majorEastAsia"/>
          <w:color w:val="auto"/>
          <w:sz w:val="28"/>
          <w:szCs w:val="32"/>
        </w:rPr>
        <w:t>丙方按照合同约定的账期，及时支付甲方和乙方相应的款项。</w:t>
      </w:r>
    </w:p>
    <w:p w14:paraId="32B2BF01">
      <w:pP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243A9702">
      <w:pPr>
        <w:rPr>
          <w:rFonts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Theme="majorEastAsia" w:hAnsiTheme="majorEastAsia" w:eastAsiaTheme="majorEastAsia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风险与责任</w:t>
      </w:r>
    </w:p>
    <w:p w14:paraId="784872C0">
      <w:p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.1甲乙丙三方共同进行风险管控；</w:t>
      </w:r>
    </w:p>
    <w:p w14:paraId="72C7CF65">
      <w:pPr>
        <w:numPr>
          <w:ilvl w:val="255"/>
          <w:numId w:val="0"/>
        </w:num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a.投入低风险项目中使用设备；</w:t>
      </w:r>
    </w:p>
    <w:p w14:paraId="25F5AED1">
      <w:p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b.将高危患者进行过滤；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 xml:space="preserve"> </w:t>
      </w:r>
    </w:p>
    <w:p w14:paraId="448CCFE9">
      <w:p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2.2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如有意外发生，因操作不当引起的意外（由环境引起的意外除外）由第三方保险为依据，丙方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协助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处理；因硬件设施与耗材引起的意外，由乙方全权负责处理，甲、丙方不承担任何责任。</w:t>
      </w:r>
    </w:p>
    <w:p w14:paraId="74043208">
      <w:p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项目涉及风险的实施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方案需要甲乙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丙三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方共同协商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认可后执行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。</w:t>
      </w:r>
    </w:p>
    <w:p w14:paraId="0FA6E98C">
      <w:p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2.4乙方处理流程</w:t>
      </w:r>
    </w:p>
    <w:p w14:paraId="27013A8F">
      <w:p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a.分析问题：收到患者投诉，分析问题原因</w:t>
      </w:r>
    </w:p>
    <w:p w14:paraId="5FA776A1">
      <w:p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b.出具报告：出具分析报告，给出初步处理方案</w:t>
      </w:r>
    </w:p>
    <w:p w14:paraId="40B4FCC6">
      <w:p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c.解决方案：与院方汇报问题，商讨解决方案</w:t>
      </w:r>
    </w:p>
    <w:p w14:paraId="0A86B1B9">
      <w:p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d.处理投诉：与患者达成协议</w:t>
      </w:r>
    </w:p>
    <w:p w14:paraId="31D8CBC3">
      <w:pPr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FB1E91B">
      <w:pPr>
        <w:spacing w:line="360" w:lineRule="auto"/>
        <w:rPr>
          <w:rFonts w:asciiTheme="majorEastAsia" w:hAnsiTheme="majorEastAsia" w:eastAsiaTheme="maj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三、 结算</w:t>
      </w:r>
    </w:p>
    <w:p w14:paraId="546BC1EF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.1 项目收入由基础治疗费、解读费、出诊费、基础耗材费、固定成本（交通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保险、平台服务费）及协同服务费组成。</w:t>
      </w:r>
    </w:p>
    <w:p w14:paraId="6A9FD035">
      <w:pP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 xml:space="preserve">3.2 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租赁设备由乙方提供，按照乙方和患者签署的《生物反馈电刺激</w:t>
      </w:r>
    </w:p>
    <w:p w14:paraId="15164DF9">
      <w:pP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治疗仪 (ESA-F01)租赁合同》的约定，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押金直接在乙方平台收取，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在治疗周期结束后，乙方收到患者退回设备，经检测无损坏后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乙方自行把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租赁押金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按原路返回的方式返还给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患者。</w:t>
      </w:r>
    </w:p>
    <w:p w14:paraId="40E27F2A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hint="eastAsia" w:asciiTheme="majorEastAsia" w:hAnsiTheme="majorEastAsia" w:eastAsiaTheme="majorEastAsia"/>
          <w:sz w:val="28"/>
        </w:rPr>
        <w:t>平台服务费约定:</w:t>
      </w:r>
    </w:p>
    <w:p w14:paraId="55A7038F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a.按项目收入的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6%计提；</w:t>
      </w:r>
    </w:p>
    <w:p w14:paraId="6AA74D01">
      <w:pPr>
        <w:rPr>
          <w:rFonts w:asciiTheme="majorEastAsia" w:hAnsiTheme="majorEastAsia" w:eastAsiaTheme="majorEastAsia"/>
          <w:color w:val="000000" w:themeColor="text1"/>
          <w:sz w:val="28"/>
          <w:szCs w:val="32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b.甲方收入部分由患者承担；</w:t>
      </w:r>
    </w:p>
    <w:p w14:paraId="76155025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c.乙方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票税部分按照乙方和丙方合作协议细则执行。</w:t>
      </w:r>
    </w:p>
    <w:p w14:paraId="0AE719DB">
      <w:pPr>
        <w:spacing w:line="360" w:lineRule="auto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费用分配方式:</w:t>
      </w:r>
    </w:p>
    <w:p w14:paraId="31D1CE5F">
      <w:pPr>
        <w:numPr>
          <w:ilvl w:val="0"/>
          <w:numId w:val="1"/>
        </w:numPr>
        <w:spacing w:line="360" w:lineRule="auto"/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基础治疗费、解读费、出诊费的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收入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归甲方所有；</w:t>
      </w:r>
    </w:p>
    <w:p w14:paraId="6A111A3B">
      <w:pPr>
        <w:numPr>
          <w:ilvl w:val="0"/>
          <w:numId w:val="1"/>
        </w:numPr>
        <w:spacing w:line="360" w:lineRule="auto"/>
        <w:rPr>
          <w:rFonts w:asciiTheme="majorEastAsia" w:hAnsiTheme="majorEastAsia" w:eastAsiaTheme="maj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基础耗材费、协同服务费的收入归乙方所有；</w:t>
      </w:r>
    </w:p>
    <w:p w14:paraId="6401DD29">
      <w:pPr>
        <w:numPr>
          <w:ilvl w:val="0"/>
          <w:numId w:val="1"/>
        </w:numPr>
        <w:spacing w:line="360" w:lineRule="auto"/>
        <w:rPr>
          <w:rFonts w:asciiTheme="majorEastAsia" w:hAnsiTheme="majorEastAsia" w:eastAsiaTheme="maj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固定成本（交通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保险、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票税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）归丙方所有。</w:t>
      </w:r>
    </w:p>
    <w:p w14:paraId="5A284A12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丙方代收本项目实施产生的全部收入，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丙方可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为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购买服务的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用户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开具增值税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普通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发票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，所开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发票为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患者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实际支付金额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购买方名称为患者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姓名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，发票服务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名称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是生活服务*医护服务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；</w:t>
      </w:r>
    </w:p>
    <w:p w14:paraId="1B062907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丙方在每月10号前统计出上月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产生的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收入，按商定费用分配方式与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甲方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进行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核算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，并于当月月底前，在收到甲方提供的增值税发票或行政事业单位结算收据后，向甲方支付上月应得的费用。</w:t>
      </w:r>
    </w:p>
    <w:p w14:paraId="73F34FCE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丙方在每月10号前统计出上月产生的收入，按商定费用分配方式与乙方进行核算，并于当月月底前，在收到乙方提供的增值税专用发票后，向乙方支付上月应得的费用。</w:t>
      </w:r>
    </w:p>
    <w:p w14:paraId="65CEACE3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6BB4311E">
      <w:pPr>
        <w:rPr>
          <w:rFonts w:asciiTheme="majorEastAsia" w:hAnsiTheme="majorEastAsia" w:eastAsiaTheme="majorEastAsia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四、保密条款</w:t>
      </w:r>
    </w:p>
    <w:p w14:paraId="785AF9D1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4.1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无论在本协议有效期内或本协议终止以后，甲乙丙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方就在合作过程中从对方处所获取的资料、文件等各类信息均负有保密义务。未经对方书面同意，不得向任何第三方披露此类信息，但以下情况除外：</w:t>
      </w:r>
    </w:p>
    <w:p w14:paraId="6C7F9EBC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．向受保密协议约束的律师、会计师、顾问和咨询人员、员工披露；</w:t>
      </w:r>
    </w:p>
    <w:p w14:paraId="78783A2B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．根据相关法律法规的要求，向有关政府部门或者管理机构披露。</w:t>
      </w:r>
    </w:p>
    <w:p w14:paraId="57493C12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.2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保密的内容和范围、泄密的界定</w:t>
      </w:r>
    </w:p>
    <w:p w14:paraId="5A42F9FB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a.涉及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用户在智慧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家康APP中填写的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各类用户信息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，包括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用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户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基本信息，租赁信息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评估信息，治疗方案，治疗记录，用户位置信息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。</w:t>
      </w:r>
    </w:p>
    <w:p w14:paraId="4C927C7E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b.凡以直接、间接、口头或书面等形式向第三方提供涉及保密内容的行为均属泄密。</w:t>
      </w:r>
    </w:p>
    <w:p w14:paraId="33E04B07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.3乙方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保密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义务、责任</w:t>
      </w:r>
    </w:p>
    <w:p w14:paraId="474263D9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a.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乙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方同意并承诺，对所有保密信息予以严格保密，在未得到甲方书面许可的情况下不披露给任何其他人士或机构。</w:t>
      </w:r>
    </w:p>
    <w:p w14:paraId="55E9C42B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b.乙方承诺，无论任何原因，为甲方提供服务终止后，乙方保证退回甲方保存在乙方处的任何含有保密信息的文件或资料(如有)。</w:t>
      </w:r>
    </w:p>
    <w:p w14:paraId="22B60DB0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c.乙方同意并承诺，恶意泄露其所有保密信息，一经查实愿意承担相关的法律责任。</w:t>
      </w:r>
    </w:p>
    <w:p w14:paraId="0EA07B7D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.4保密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义务不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适应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以下信息：</w:t>
      </w:r>
    </w:p>
    <w:p w14:paraId="071D83F8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a.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非由于乙方的原因已经为公众所知的信息；</w:t>
      </w:r>
    </w:p>
    <w:p w14:paraId="065CA1EE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b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.由于法律的适用、法院或其他国家有权机关的要求而披露的信息。</w:t>
      </w:r>
    </w:p>
    <w:p w14:paraId="7D29F603">
      <w:pPr>
        <w:rPr>
          <w:rFonts w:hint="default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4.5违反保密协议的，违约方应向守约方支付违约金200000元，违约金不足以弥补实际损失的以实际损失为准。</w:t>
      </w:r>
    </w:p>
    <w:p w14:paraId="6D8A5F2A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07FA9FEE">
      <w:pPr>
        <w:numPr>
          <w:ilvl w:val="255"/>
          <w:numId w:val="0"/>
        </w:numPr>
        <w:rPr>
          <w:rFonts w:asciiTheme="majorEastAsia" w:hAnsiTheme="majorEastAsia" w:eastAsiaTheme="majorEastAsia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五、争议的解决</w:t>
      </w:r>
    </w:p>
    <w:p w14:paraId="5759C4BA">
      <w:pP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.</w:t>
      </w:r>
      <w:r>
        <w:rPr>
          <w:rFonts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Theme="majorEastAsia" w:hAnsiTheme="majorEastAsia" w:eastAsiaTheme="majorEastAsia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本协议应当适用中华人民共和国法律并按中华人民共和国法律解释。因本协议所引起或与本协议有关的不同理解，三方应本着互相尊重、密切合作的态度协商解决。如甲、乙、丙方不能通过协商方式解决争议，则任何一方可向任意一方所在地有管辖权的人民法院提起诉讼解决。</w:t>
      </w:r>
    </w:p>
    <w:p w14:paraId="04550CDD">
      <w:pPr>
        <w:pStyle w:val="26"/>
        <w:rPr>
          <w:rFonts w:cs="Times New Roman" w:asciiTheme="majorEastAsia" w:hAnsiTheme="majorEastAsia" w:eastAsiaTheme="majorEastAsia"/>
          <w:color w:val="000000" w:themeColor="text1"/>
          <w:kern w:val="2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ajorEastAsia" w:hAnsiTheme="majorEastAsia" w:eastAsiaTheme="majorEastAsia"/>
          <w:color w:val="000000" w:themeColor="text1"/>
          <w:kern w:val="2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cs="Times New Roman" w:asciiTheme="majorEastAsia" w:hAnsiTheme="majorEastAsia" w:eastAsiaTheme="majorEastAsia"/>
          <w:color w:val="000000" w:themeColor="text1"/>
          <w:kern w:val="2"/>
          <w:sz w:val="28"/>
          <w:szCs w:val="32"/>
          <w14:textFill>
            <w14:solidFill>
              <w14:schemeClr w14:val="tx1"/>
            </w14:solidFill>
          </w14:textFill>
        </w:rPr>
        <w:t>.</w:t>
      </w:r>
      <w:r>
        <w:rPr>
          <w:rFonts w:hint="eastAsia" w:cs="Times New Roman" w:asciiTheme="majorEastAsia" w:hAnsiTheme="majorEastAsia" w:eastAsiaTheme="majorEastAsia"/>
          <w:color w:val="000000" w:themeColor="text1"/>
          <w:kern w:val="2"/>
          <w:sz w:val="28"/>
          <w:szCs w:val="32"/>
          <w14:textFill>
            <w14:solidFill>
              <w14:schemeClr w14:val="tx1"/>
            </w14:solidFill>
          </w14:textFill>
        </w:rPr>
        <w:t>2本协议自甲乙丙盖章并经三方法定代表人或授权代表签字日起生效，协议一式陆份，三方各持贰份，具有同等法律效力。</w:t>
      </w:r>
    </w:p>
    <w:p w14:paraId="143BBF12">
      <w:pPr>
        <w:pStyle w:val="26"/>
        <w:rPr>
          <w:rFonts w:cs="Times New Roman" w:asciiTheme="majorEastAsia" w:hAnsiTheme="majorEastAsia" w:eastAsiaTheme="majorEastAsia"/>
          <w:color w:val="000000" w:themeColor="text1"/>
          <w:kern w:val="2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ajorEastAsia" w:hAnsiTheme="majorEastAsia" w:eastAsiaTheme="majorEastAsia"/>
          <w:color w:val="000000" w:themeColor="text1"/>
          <w:kern w:val="2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cs="Times New Roman" w:asciiTheme="majorEastAsia" w:hAnsiTheme="majorEastAsia" w:eastAsiaTheme="majorEastAsia"/>
          <w:color w:val="000000" w:themeColor="text1"/>
          <w:kern w:val="2"/>
          <w:sz w:val="28"/>
          <w:szCs w:val="32"/>
          <w14:textFill>
            <w14:solidFill>
              <w14:schemeClr w14:val="tx1"/>
            </w14:solidFill>
          </w14:textFill>
        </w:rPr>
        <w:t>.</w:t>
      </w:r>
      <w:r>
        <w:rPr>
          <w:rFonts w:hint="eastAsia" w:cs="Times New Roman" w:asciiTheme="majorEastAsia" w:hAnsiTheme="majorEastAsia" w:eastAsiaTheme="majorEastAsia"/>
          <w:color w:val="000000" w:themeColor="text1"/>
          <w:kern w:val="2"/>
          <w:sz w:val="28"/>
          <w:szCs w:val="32"/>
          <w14:textFill>
            <w14:solidFill>
              <w14:schemeClr w14:val="tx1"/>
            </w14:solidFill>
          </w14:textFill>
        </w:rPr>
        <w:t>3本协议的未尽事宜协商解决或另行签订补充协议，补充协议与本协议具有同等法律效力，补充协议与本协议不一致的以补充协议为准。</w:t>
      </w:r>
    </w:p>
    <w:p w14:paraId="520813CB">
      <w:pPr>
        <w:pStyle w:val="26"/>
        <w:rPr>
          <w:rFonts w:cs="Times New Roman" w:asciiTheme="majorEastAsia" w:hAnsiTheme="majorEastAsia" w:eastAsiaTheme="majorEastAsia"/>
          <w:color w:val="000000" w:themeColor="text1"/>
          <w:kern w:val="2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ajorEastAsia" w:hAnsiTheme="majorEastAsia" w:eastAsiaTheme="majorEastAsia"/>
          <w:color w:val="000000" w:themeColor="text1"/>
          <w:kern w:val="2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cs="Times New Roman" w:asciiTheme="majorEastAsia" w:hAnsiTheme="majorEastAsia" w:eastAsiaTheme="majorEastAsia"/>
          <w:color w:val="000000" w:themeColor="text1"/>
          <w:kern w:val="2"/>
          <w:sz w:val="28"/>
          <w:szCs w:val="32"/>
          <w14:textFill>
            <w14:solidFill>
              <w14:schemeClr w14:val="tx1"/>
            </w14:solidFill>
          </w14:textFill>
        </w:rPr>
        <w:t>.4</w:t>
      </w:r>
      <w:r>
        <w:rPr>
          <w:rFonts w:hint="eastAsia" w:cs="Times New Roman" w:asciiTheme="majorEastAsia" w:hAnsiTheme="majorEastAsia" w:eastAsiaTheme="majorEastAsia"/>
          <w:color w:val="000000" w:themeColor="text1"/>
          <w:kern w:val="2"/>
          <w:sz w:val="28"/>
          <w:szCs w:val="32"/>
          <w14:textFill>
            <w14:solidFill>
              <w14:schemeClr w14:val="tx1"/>
            </w14:solidFill>
          </w14:textFill>
        </w:rPr>
        <w:t>协议期限：此协议的有效期自签署之日起生效，有效期</w:t>
      </w:r>
      <w:r>
        <w:rPr>
          <w:rFonts w:hint="eastAsia" w:cs="Times New Roman" w:asciiTheme="majorEastAsia" w:hAnsiTheme="majorEastAsia" w:eastAsiaTheme="majorEastAsia"/>
          <w:color w:val="000000" w:themeColor="text1"/>
          <w:kern w:val="2"/>
          <w:sz w:val="28"/>
          <w:szCs w:val="32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cs="Times New Roman" w:asciiTheme="majorEastAsia" w:hAnsiTheme="majorEastAsia" w:eastAsiaTheme="majorEastAsia"/>
          <w:color w:val="000000" w:themeColor="text1"/>
          <w:kern w:val="2"/>
          <w:sz w:val="28"/>
          <w:szCs w:val="32"/>
          <w14:textFill>
            <w14:solidFill>
              <w14:schemeClr w14:val="tx1"/>
            </w14:solidFill>
          </w14:textFill>
        </w:rPr>
        <w:t>年。</w:t>
      </w:r>
    </w:p>
    <w:p w14:paraId="16BF5F27">
      <w:pPr>
        <w:pStyle w:val="26"/>
        <w:rPr>
          <w:rFonts w:cs="Times New Roman" w:asciiTheme="majorEastAsia" w:hAnsiTheme="majorEastAsia" w:eastAsiaTheme="majorEastAsia"/>
          <w:color w:val="000000" w:themeColor="text1"/>
          <w:kern w:val="2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ajorEastAsia" w:hAnsiTheme="majorEastAsia" w:eastAsiaTheme="majorEastAsia"/>
          <w:color w:val="000000" w:themeColor="text1"/>
          <w:kern w:val="2"/>
          <w:sz w:val="28"/>
          <w:szCs w:val="32"/>
          <w14:textFill>
            <w14:solidFill>
              <w14:schemeClr w14:val="tx1"/>
            </w14:solidFill>
          </w14:textFill>
        </w:rPr>
        <w:t>（以下无正文）</w:t>
      </w:r>
    </w:p>
    <w:p w14:paraId="3F3E1FC5">
      <w:pPr>
        <w:spacing w:line="360" w:lineRule="auto"/>
        <w:rPr>
          <w:rFonts w:asciiTheme="majorEastAsia" w:hAnsiTheme="majorEastAsia" w:eastAsiaTheme="major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CD1A2F">
      <w:pPr>
        <w:spacing w:line="360" w:lineRule="auto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（本页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签字盖章页</w:t>
      </w:r>
      <w:r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，无正文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）</w:t>
      </w:r>
    </w:p>
    <w:p w14:paraId="24F53A4C">
      <w:pPr>
        <w:spacing w:line="360" w:lineRule="auto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672F7C2">
      <w:pPr>
        <w:spacing w:line="360" w:lineRule="auto"/>
        <w:jc w:val="left"/>
        <w:rPr>
          <w:rFonts w:cs="宋体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甲方：</w:t>
      </w:r>
      <w:r>
        <w:rPr>
          <w:rFonts w:hint="eastAsia" w:cs="宋体" w:asciiTheme="majorEastAsia" w:hAnsiTheme="majorEastAsia" w:eastAsiaTheme="majorEastAsia"/>
          <w:bCs/>
          <w:color w:val="000000" w:themeColor="text1"/>
          <w:sz w:val="28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XXXXX医院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（盖章）</w:t>
      </w:r>
    </w:p>
    <w:p w14:paraId="23F1ACB6">
      <w:pPr>
        <w:spacing w:line="360" w:lineRule="auto"/>
        <w:jc w:val="left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法定代表人（或授权代理人）：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（签名）</w:t>
      </w:r>
    </w:p>
    <w:p w14:paraId="5A8B498F">
      <w:pPr>
        <w:spacing w:line="360" w:lineRule="auto"/>
        <w:jc w:val="left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日期：    年   月   日</w:t>
      </w:r>
    </w:p>
    <w:p w14:paraId="49FF4523">
      <w:pPr>
        <w:spacing w:line="360" w:lineRule="auto"/>
        <w:jc w:val="left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B92814">
      <w:pPr>
        <w:spacing w:line="360" w:lineRule="auto"/>
        <w:jc w:val="left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EEBB80">
      <w:pPr>
        <w:spacing w:line="360" w:lineRule="auto"/>
        <w:jc w:val="left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乙方：</w:t>
      </w:r>
      <w:r>
        <w:rPr>
          <w:rFonts w:hint="eastAsia" w:cs="宋体" w:asciiTheme="majorEastAsia" w:hAnsiTheme="majorEastAsia" w:eastAsiaTheme="majorEastAsia"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广州圆爱康生物科技有限公司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（盖章）</w:t>
      </w:r>
    </w:p>
    <w:p w14:paraId="0E4E8BC5">
      <w:pPr>
        <w:spacing w:line="360" w:lineRule="auto"/>
        <w:jc w:val="left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法定代表人（或授权代理人）：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（签名）</w:t>
      </w:r>
    </w:p>
    <w:p w14:paraId="5EFFE6F9">
      <w:pPr>
        <w:spacing w:line="360" w:lineRule="auto"/>
        <w:jc w:val="left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日期：    年   月   日</w:t>
      </w:r>
    </w:p>
    <w:p w14:paraId="6559CB05">
      <w:pPr>
        <w:spacing w:line="360" w:lineRule="auto"/>
        <w:ind w:firstLine="1400" w:firstLineChars="500"/>
        <w:jc w:val="left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4DA4542">
      <w:pPr>
        <w:spacing w:line="360" w:lineRule="auto"/>
        <w:ind w:firstLine="1400" w:firstLineChars="500"/>
        <w:jc w:val="left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69CDF2A">
      <w:pPr>
        <w:spacing w:line="360" w:lineRule="auto"/>
        <w:jc w:val="left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丙方：</w:t>
      </w:r>
      <w:r>
        <w:rPr>
          <w:rFonts w:hint="eastAsia" w:cs="宋体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XXXX第三方平台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（盖章）</w:t>
      </w:r>
    </w:p>
    <w:p w14:paraId="4E590A3F">
      <w:pPr>
        <w:spacing w:line="360" w:lineRule="auto"/>
        <w:jc w:val="left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法定代表人（或授权代理人）：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（签名）</w:t>
      </w:r>
    </w:p>
    <w:p w14:paraId="2D944339">
      <w:pPr>
        <w:spacing w:line="360" w:lineRule="auto"/>
        <w:jc w:val="left"/>
        <w:rPr>
          <w:rFonts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日期：    年   月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E820B5"/>
    <w:multiLevelType w:val="singleLevel"/>
    <w:tmpl w:val="79E820B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revisionView w:markup="0"/>
  <w:trackRevisions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gzZGMzZTdhZGZmY2ZhMTdmNjE0MWUwOWNhZTEyMGIifQ=="/>
  </w:docVars>
  <w:rsids>
    <w:rsidRoot w:val="1FA13BC6"/>
    <w:rsid w:val="000020A8"/>
    <w:rsid w:val="00015F03"/>
    <w:rsid w:val="0003171C"/>
    <w:rsid w:val="00032C76"/>
    <w:rsid w:val="00036D90"/>
    <w:rsid w:val="000457A0"/>
    <w:rsid w:val="0004674B"/>
    <w:rsid w:val="000761CB"/>
    <w:rsid w:val="00090B0D"/>
    <w:rsid w:val="000A294F"/>
    <w:rsid w:val="000B0135"/>
    <w:rsid w:val="000C1DD0"/>
    <w:rsid w:val="000F763A"/>
    <w:rsid w:val="00181CA7"/>
    <w:rsid w:val="00187C32"/>
    <w:rsid w:val="001A1FEB"/>
    <w:rsid w:val="001C0C20"/>
    <w:rsid w:val="001D320F"/>
    <w:rsid w:val="001F1139"/>
    <w:rsid w:val="00220AC0"/>
    <w:rsid w:val="0022490C"/>
    <w:rsid w:val="00227DD4"/>
    <w:rsid w:val="002433C8"/>
    <w:rsid w:val="002674EA"/>
    <w:rsid w:val="002819F6"/>
    <w:rsid w:val="00294356"/>
    <w:rsid w:val="002E57E1"/>
    <w:rsid w:val="002E6FCE"/>
    <w:rsid w:val="002F48E2"/>
    <w:rsid w:val="00313FEA"/>
    <w:rsid w:val="00350997"/>
    <w:rsid w:val="003A3C2E"/>
    <w:rsid w:val="0040186E"/>
    <w:rsid w:val="00423925"/>
    <w:rsid w:val="00457EFC"/>
    <w:rsid w:val="0047114D"/>
    <w:rsid w:val="00495F56"/>
    <w:rsid w:val="004B006B"/>
    <w:rsid w:val="004D3C57"/>
    <w:rsid w:val="00501B42"/>
    <w:rsid w:val="0051616F"/>
    <w:rsid w:val="00593153"/>
    <w:rsid w:val="0059643D"/>
    <w:rsid w:val="005A5E6C"/>
    <w:rsid w:val="005B1233"/>
    <w:rsid w:val="005B13AB"/>
    <w:rsid w:val="00627D09"/>
    <w:rsid w:val="00637DB1"/>
    <w:rsid w:val="00654F18"/>
    <w:rsid w:val="00657FF8"/>
    <w:rsid w:val="00686817"/>
    <w:rsid w:val="006936E2"/>
    <w:rsid w:val="00695D3C"/>
    <w:rsid w:val="006B40F3"/>
    <w:rsid w:val="007124F7"/>
    <w:rsid w:val="00713CDA"/>
    <w:rsid w:val="007250A2"/>
    <w:rsid w:val="0074655C"/>
    <w:rsid w:val="007550AA"/>
    <w:rsid w:val="00762DA6"/>
    <w:rsid w:val="00795A81"/>
    <w:rsid w:val="007B071F"/>
    <w:rsid w:val="007B561C"/>
    <w:rsid w:val="007C5683"/>
    <w:rsid w:val="007F5BAC"/>
    <w:rsid w:val="00802F98"/>
    <w:rsid w:val="00814D00"/>
    <w:rsid w:val="00817698"/>
    <w:rsid w:val="00853DF7"/>
    <w:rsid w:val="00863A6C"/>
    <w:rsid w:val="00895093"/>
    <w:rsid w:val="00895422"/>
    <w:rsid w:val="00897516"/>
    <w:rsid w:val="008D1C8B"/>
    <w:rsid w:val="008F162B"/>
    <w:rsid w:val="00912F5B"/>
    <w:rsid w:val="00927862"/>
    <w:rsid w:val="00937375"/>
    <w:rsid w:val="00956BB9"/>
    <w:rsid w:val="00977CE8"/>
    <w:rsid w:val="0099538E"/>
    <w:rsid w:val="009A0992"/>
    <w:rsid w:val="009E520B"/>
    <w:rsid w:val="00A04E79"/>
    <w:rsid w:val="00A07E86"/>
    <w:rsid w:val="00A805DB"/>
    <w:rsid w:val="00A935CA"/>
    <w:rsid w:val="00AA0BB0"/>
    <w:rsid w:val="00AB5606"/>
    <w:rsid w:val="00B75AE5"/>
    <w:rsid w:val="00B81E42"/>
    <w:rsid w:val="00BB12D4"/>
    <w:rsid w:val="00BF5958"/>
    <w:rsid w:val="00BF7BA9"/>
    <w:rsid w:val="00C14A9E"/>
    <w:rsid w:val="00C32A68"/>
    <w:rsid w:val="00C43721"/>
    <w:rsid w:val="00CA70D8"/>
    <w:rsid w:val="00CD001C"/>
    <w:rsid w:val="00CD750E"/>
    <w:rsid w:val="00CF79D3"/>
    <w:rsid w:val="00D708A1"/>
    <w:rsid w:val="00D716F9"/>
    <w:rsid w:val="00D77BFF"/>
    <w:rsid w:val="00D91874"/>
    <w:rsid w:val="00E546B0"/>
    <w:rsid w:val="00E60229"/>
    <w:rsid w:val="00E6107B"/>
    <w:rsid w:val="00E67A1B"/>
    <w:rsid w:val="00EA65C7"/>
    <w:rsid w:val="00F11FA0"/>
    <w:rsid w:val="00F905F5"/>
    <w:rsid w:val="00F9267F"/>
    <w:rsid w:val="00F979E3"/>
    <w:rsid w:val="00FB104D"/>
    <w:rsid w:val="00FB49BF"/>
    <w:rsid w:val="00FC32F7"/>
    <w:rsid w:val="00FC5B3A"/>
    <w:rsid w:val="00FE1099"/>
    <w:rsid w:val="00FE2F2C"/>
    <w:rsid w:val="00FE5FAA"/>
    <w:rsid w:val="00FE77EC"/>
    <w:rsid w:val="044F78EB"/>
    <w:rsid w:val="05785438"/>
    <w:rsid w:val="0A2D38E9"/>
    <w:rsid w:val="0D38442D"/>
    <w:rsid w:val="0D844B11"/>
    <w:rsid w:val="0DA26178"/>
    <w:rsid w:val="0DF444F8"/>
    <w:rsid w:val="0E7860E0"/>
    <w:rsid w:val="0EA321A7"/>
    <w:rsid w:val="0F6466E7"/>
    <w:rsid w:val="127019C7"/>
    <w:rsid w:val="183A54FD"/>
    <w:rsid w:val="1C610F72"/>
    <w:rsid w:val="1CFD4E3A"/>
    <w:rsid w:val="1D7F13C2"/>
    <w:rsid w:val="1FA13BC6"/>
    <w:rsid w:val="216E64C1"/>
    <w:rsid w:val="229D6DB5"/>
    <w:rsid w:val="2321774D"/>
    <w:rsid w:val="24913609"/>
    <w:rsid w:val="25D0103D"/>
    <w:rsid w:val="270D321D"/>
    <w:rsid w:val="2D8C49F8"/>
    <w:rsid w:val="2E344345"/>
    <w:rsid w:val="2E9F7966"/>
    <w:rsid w:val="2EBD258D"/>
    <w:rsid w:val="321E1594"/>
    <w:rsid w:val="327261B7"/>
    <w:rsid w:val="336B6A5B"/>
    <w:rsid w:val="34157302"/>
    <w:rsid w:val="3D5D5666"/>
    <w:rsid w:val="3D8F6F90"/>
    <w:rsid w:val="3F3F08D1"/>
    <w:rsid w:val="3FAC6431"/>
    <w:rsid w:val="40E57E4D"/>
    <w:rsid w:val="431E7856"/>
    <w:rsid w:val="455235D7"/>
    <w:rsid w:val="4B265A5F"/>
    <w:rsid w:val="4D9302ED"/>
    <w:rsid w:val="4DD148A2"/>
    <w:rsid w:val="52363F50"/>
    <w:rsid w:val="551E1C44"/>
    <w:rsid w:val="57B123DF"/>
    <w:rsid w:val="5AA91546"/>
    <w:rsid w:val="5D8435F3"/>
    <w:rsid w:val="5E227B93"/>
    <w:rsid w:val="5EA031AD"/>
    <w:rsid w:val="5F2D1390"/>
    <w:rsid w:val="5F975102"/>
    <w:rsid w:val="618F5CAE"/>
    <w:rsid w:val="63712FD4"/>
    <w:rsid w:val="641121AF"/>
    <w:rsid w:val="65135690"/>
    <w:rsid w:val="660801E3"/>
    <w:rsid w:val="67DA154D"/>
    <w:rsid w:val="6BFD2FD9"/>
    <w:rsid w:val="6C353187"/>
    <w:rsid w:val="6CFF5627"/>
    <w:rsid w:val="717E737E"/>
    <w:rsid w:val="71F65166"/>
    <w:rsid w:val="72FF2886"/>
    <w:rsid w:val="752D11C9"/>
    <w:rsid w:val="75681CD8"/>
    <w:rsid w:val="75EB6936"/>
    <w:rsid w:val="767E1BCE"/>
    <w:rsid w:val="777F79AC"/>
    <w:rsid w:val="78701939"/>
    <w:rsid w:val="7AE83ABA"/>
    <w:rsid w:val="7B2C1BF9"/>
    <w:rsid w:val="7EDF1338"/>
    <w:rsid w:val="7F9235D0"/>
    <w:rsid w:val="7FA0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9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2"/>
    <w:autoRedefine/>
    <w:qFormat/>
    <w:uiPriority w:val="0"/>
    <w:pPr>
      <w:jc w:val="left"/>
    </w:pPr>
  </w:style>
  <w:style w:type="paragraph" w:styleId="7">
    <w:name w:val="Balloon Text"/>
    <w:basedOn w:val="1"/>
    <w:link w:val="31"/>
    <w:autoRedefine/>
    <w:semiHidden/>
    <w:unhideWhenUsed/>
    <w:qFormat/>
    <w:uiPriority w:val="0"/>
    <w:rPr>
      <w:sz w:val="18"/>
      <w:szCs w:val="18"/>
    </w:rPr>
  </w:style>
  <w:style w:type="paragraph" w:styleId="8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2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annotation subject"/>
    <w:basedOn w:val="6"/>
    <w:next w:val="6"/>
    <w:link w:val="33"/>
    <w:autoRedefine/>
    <w:semiHidden/>
    <w:unhideWhenUsed/>
    <w:qFormat/>
    <w:uiPriority w:val="0"/>
    <w:rPr>
      <w:b/>
      <w:bCs/>
    </w:rPr>
  </w:style>
  <w:style w:type="character" w:styleId="13">
    <w:name w:val="Strong"/>
    <w:basedOn w:val="12"/>
    <w:autoRedefine/>
    <w:qFormat/>
    <w:uiPriority w:val="0"/>
    <w:rPr>
      <w:b/>
      <w:bCs/>
    </w:rPr>
  </w:style>
  <w:style w:type="character" w:styleId="14">
    <w:name w:val="annotation reference"/>
    <w:basedOn w:val="12"/>
    <w:autoRedefine/>
    <w:qFormat/>
    <w:uiPriority w:val="0"/>
    <w:rPr>
      <w:sz w:val="21"/>
      <w:szCs w:val="21"/>
    </w:rPr>
  </w:style>
  <w:style w:type="character" w:customStyle="1" w:styleId="15">
    <w:name w:val="font81"/>
    <w:basedOn w:val="12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6">
    <w:name w:val="font141"/>
    <w:basedOn w:val="12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18"/>
      <w:szCs w:val="18"/>
      <w:u w:val="none"/>
    </w:rPr>
  </w:style>
  <w:style w:type="character" w:customStyle="1" w:styleId="17">
    <w:name w:val="font11"/>
    <w:basedOn w:val="12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  <w:style w:type="character" w:customStyle="1" w:styleId="18">
    <w:name w:val="font41"/>
    <w:basedOn w:val="12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  <w:style w:type="character" w:customStyle="1" w:styleId="19">
    <w:name w:val="font101"/>
    <w:basedOn w:val="12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20">
    <w:name w:val="ql-underline-solid"/>
    <w:basedOn w:val="12"/>
    <w:autoRedefine/>
    <w:qFormat/>
    <w:uiPriority w:val="0"/>
  </w:style>
  <w:style w:type="paragraph" w:customStyle="1" w:styleId="21">
    <w:name w:val="ql-lineheight-20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23">
    <w:name w:val="ql-lineheight-11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4">
    <w:name w:val="标题 1 字符"/>
    <w:basedOn w:val="12"/>
    <w:link w:val="2"/>
    <w:autoRedefine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25">
    <w:name w:val="标题 2 字符"/>
    <w:basedOn w:val="1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6">
    <w:name w:val="ql-align-justify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7">
    <w:name w:val="页眉 字符"/>
    <w:basedOn w:val="12"/>
    <w:link w:val="9"/>
    <w:autoRedefine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8">
    <w:name w:val="ql-bold-700"/>
    <w:basedOn w:val="12"/>
    <w:autoRedefine/>
    <w:qFormat/>
    <w:uiPriority w:val="0"/>
  </w:style>
  <w:style w:type="character" w:customStyle="1" w:styleId="29">
    <w:name w:val="标题 4 字符"/>
    <w:basedOn w:val="12"/>
    <w:link w:val="5"/>
    <w:autoRedefine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0">
    <w:name w:val="apple-converted-space"/>
    <w:autoRedefine/>
    <w:qFormat/>
    <w:uiPriority w:val="0"/>
  </w:style>
  <w:style w:type="character" w:customStyle="1" w:styleId="31">
    <w:name w:val="批注框文本 字符"/>
    <w:basedOn w:val="12"/>
    <w:link w:val="7"/>
    <w:autoRedefine/>
    <w:semiHidden/>
    <w:qFormat/>
    <w:uiPriority w:val="0"/>
    <w:rPr>
      <w:rFonts w:ascii="Calibri" w:hAnsi="Calibri"/>
      <w:kern w:val="2"/>
      <w:sz w:val="18"/>
      <w:szCs w:val="18"/>
    </w:rPr>
  </w:style>
  <w:style w:type="character" w:customStyle="1" w:styleId="32">
    <w:name w:val="批注文字 字符"/>
    <w:basedOn w:val="12"/>
    <w:link w:val="6"/>
    <w:autoRedefine/>
    <w:qFormat/>
    <w:uiPriority w:val="0"/>
    <w:rPr>
      <w:rFonts w:ascii="Calibri" w:hAnsi="Calibri"/>
      <w:kern w:val="2"/>
      <w:sz w:val="21"/>
      <w:szCs w:val="22"/>
    </w:rPr>
  </w:style>
  <w:style w:type="character" w:customStyle="1" w:styleId="33">
    <w:name w:val="批注主题 字符"/>
    <w:basedOn w:val="32"/>
    <w:link w:val="10"/>
    <w:autoRedefine/>
    <w:semiHidden/>
    <w:qFormat/>
    <w:uiPriority w:val="0"/>
    <w:rPr>
      <w:rFonts w:ascii="Calibri" w:hAnsi="Calibr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8</Pages>
  <Words>1095</Words>
  <Characters>1171</Characters>
  <Lines>24</Lines>
  <Paragraphs>6</Paragraphs>
  <TotalTime>9264</TotalTime>
  <ScaleCrop>false</ScaleCrop>
  <LinksUpToDate>false</LinksUpToDate>
  <CharactersWithSpaces>1180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2022-07-30T10:25:00Z</dcterms:created>
  <dc:creator>serenarh</dc:creator>
  <cp:lastModifiedBy>小乔医生助手</cp:lastModifiedBy>
  <dcterms:modified xsi:type="dcterms:W3CDTF">2025-07-11T08:41:26Z</dcterms:modified>
  <cp:revision>156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0A5F7C794762404281FAB1D636F4C729_13</vt:lpwstr>
  </property>
  <property fmtid="{D5CDD505-2E9C-101B-9397-08002B2CF9AE}" pid="4" name="KSOTemplateDocerSaveRecord">
    <vt:lpwstr>eyJoZGlkIjoiYTM5MTZmNjAyZjEyMzU3OGQ1MDEyNzM2NjEwYTgwOTkiLCJ1c2VySWQiOiI2NTEzODc2MjAifQ==</vt:lpwstr>
  </property>
</Properties>
</file>