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813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ascii="Microsoft YaHei UI" w:hAnsi="Microsoft YaHei UI" w:eastAsia="Microsoft YaHei UI" w:cs="Microsoft YaHei UI"/>
          <w:i w:val="0"/>
          <w:iCs w:val="0"/>
          <w:caps w:val="0"/>
          <w:color w:val="323232"/>
          <w:spacing w:val="30"/>
          <w:sz w:val="24"/>
          <w:szCs w:val="24"/>
        </w:rPr>
      </w:pPr>
      <w:r>
        <w:rPr>
          <w:rFonts w:ascii="微软雅黑" w:hAnsi="微软雅黑" w:eastAsia="微软雅黑" w:cs="微软雅黑"/>
          <w:i w:val="0"/>
          <w:iCs w:val="0"/>
          <w:caps w:val="0"/>
          <w:color w:val="323232"/>
          <w:spacing w:val="30"/>
          <w:sz w:val="24"/>
          <w:szCs w:val="24"/>
          <w:u w:val="none"/>
          <w:bdr w:val="none" w:color="auto" w:sz="0" w:space="0"/>
          <w:shd w:val="clear" w:fill="FEFEFE"/>
        </w:rPr>
        <w:t> </w:t>
      </w:r>
      <w:r>
        <w:rPr>
          <w:rFonts w:hint="eastAsia" w:ascii="微软雅黑" w:hAnsi="微软雅黑" w:eastAsia="微软雅黑" w:cs="微软雅黑"/>
          <w:i w:val="0"/>
          <w:iCs w:val="0"/>
          <w:caps w:val="0"/>
          <w:color w:val="323232"/>
          <w:spacing w:val="30"/>
          <w:sz w:val="21"/>
          <w:szCs w:val="21"/>
          <w:u w:val="single"/>
          <w:bdr w:val="none" w:color="auto" w:sz="0" w:space="0"/>
          <w:shd w:val="clear" w:fill="FEFEFE"/>
        </w:rPr>
        <w:t>玉树州妇幼保健院互联网+智慧医疗康复服务项目采购的潜在供应商应</w:t>
      </w:r>
      <w:r>
        <w:rPr>
          <w:rFonts w:hint="eastAsia" w:ascii="微软雅黑" w:hAnsi="微软雅黑" w:eastAsia="微软雅黑" w:cs="微软雅黑"/>
          <w:i w:val="0"/>
          <w:iCs w:val="0"/>
          <w:caps w:val="0"/>
          <w:color w:val="323232"/>
          <w:spacing w:val="30"/>
          <w:sz w:val="21"/>
          <w:szCs w:val="21"/>
          <w:bdr w:val="none" w:color="auto" w:sz="0" w:space="0"/>
          <w:shd w:val="clear" w:fill="FEFEFE"/>
        </w:rPr>
        <w:t>通过本项目采购信息公告，并于2026年1月13日17点00分（北京时间）前递交响应文件。</w:t>
      </w:r>
    </w:p>
    <w:p w14:paraId="3B2F20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一、</w:t>
      </w:r>
      <w:r>
        <w:rPr>
          <w:rFonts w:hint="eastAsia" w:ascii="微软雅黑" w:hAnsi="微软雅黑" w:eastAsia="微软雅黑" w:cs="微软雅黑"/>
          <w:b/>
          <w:bCs/>
          <w:i w:val="0"/>
          <w:iCs w:val="0"/>
          <w:caps w:val="0"/>
          <w:color w:val="323232"/>
          <w:spacing w:val="30"/>
          <w:sz w:val="21"/>
          <w:szCs w:val="21"/>
          <w:bdr w:val="none" w:color="auto" w:sz="0" w:space="0"/>
          <w:shd w:val="clear" w:fill="FEFEFE"/>
        </w:rPr>
        <w:t>项目基本情况</w:t>
      </w:r>
    </w:p>
    <w:p w14:paraId="38971B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项目名称：玉树州妇幼保健院互联网+智慧医疗康复服务采购项目</w:t>
      </w:r>
    </w:p>
    <w:p w14:paraId="3ACC35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采购方式：简易采购</w:t>
      </w:r>
    </w:p>
    <w:p w14:paraId="6A9ABA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预算金额：/</w:t>
      </w:r>
    </w:p>
    <w:p w14:paraId="5CF0F8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采购需求：</w:t>
      </w:r>
    </w:p>
    <w:p w14:paraId="7D27CE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1.项目情况</w:t>
      </w:r>
    </w:p>
    <w:tbl>
      <w:tblPr>
        <w:tblW w:w="79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FEFE"/>
        <w:tblLayout w:type="autofit"/>
        <w:tblCellMar>
          <w:top w:w="0" w:type="dxa"/>
          <w:left w:w="0" w:type="dxa"/>
          <w:bottom w:w="0" w:type="dxa"/>
          <w:right w:w="0" w:type="dxa"/>
        </w:tblCellMar>
      </w:tblPr>
      <w:tblGrid>
        <w:gridCol w:w="2240"/>
        <w:gridCol w:w="1098"/>
        <w:gridCol w:w="2571"/>
        <w:gridCol w:w="2030"/>
      </w:tblGrid>
      <w:tr w14:paraId="04AB3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FEFE"/>
          <w:tblCellMar>
            <w:top w:w="0" w:type="dxa"/>
            <w:left w:w="0" w:type="dxa"/>
            <w:bottom w:w="0" w:type="dxa"/>
            <w:right w:w="0" w:type="dxa"/>
          </w:tblCellMar>
        </w:tblPrEx>
        <w:trPr>
          <w:trHeight w:val="674" w:hRule="atLeast"/>
        </w:trPr>
        <w:tc>
          <w:tcPr>
            <w:tcW w:w="2235" w:type="dxa"/>
            <w:tcBorders>
              <w:top w:val="single" w:color="auto" w:sz="12" w:space="0"/>
              <w:left w:val="single" w:color="auto" w:sz="12" w:space="0"/>
              <w:bottom w:val="single" w:color="auto" w:sz="8" w:space="0"/>
              <w:right w:val="single" w:color="auto" w:sz="8" w:space="0"/>
            </w:tcBorders>
            <w:shd w:val="clear" w:color="auto" w:fill="FFFFFF"/>
            <w:tcMar>
              <w:left w:w="108" w:type="dxa"/>
              <w:right w:w="108" w:type="dxa"/>
            </w:tcMar>
            <w:vAlign w:val="center"/>
          </w:tcPr>
          <w:p w14:paraId="675F63A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b/>
                <w:bCs/>
                <w:i w:val="0"/>
                <w:iCs w:val="0"/>
                <w:caps w:val="0"/>
                <w:color w:val="323232"/>
                <w:spacing w:val="30"/>
                <w:sz w:val="21"/>
                <w:szCs w:val="21"/>
                <w:bdr w:val="none" w:color="auto" w:sz="0" w:space="0"/>
              </w:rPr>
              <w:t>采购内容</w:t>
            </w:r>
          </w:p>
        </w:tc>
        <w:tc>
          <w:tcPr>
            <w:tcW w:w="1095" w:type="dxa"/>
            <w:tcBorders>
              <w:top w:val="single" w:color="auto" w:sz="12" w:space="0"/>
              <w:left w:val="single" w:color="auto" w:sz="8" w:space="0"/>
              <w:bottom w:val="single" w:color="auto" w:sz="8" w:space="0"/>
              <w:right w:val="single" w:color="auto" w:sz="8" w:space="0"/>
            </w:tcBorders>
            <w:shd w:val="clear" w:color="auto" w:fill="FFFFFF"/>
            <w:tcMar>
              <w:left w:w="108" w:type="dxa"/>
              <w:right w:w="108" w:type="dxa"/>
            </w:tcMar>
            <w:vAlign w:val="center"/>
          </w:tcPr>
          <w:p w14:paraId="04516E2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b/>
                <w:bCs/>
                <w:i w:val="0"/>
                <w:iCs w:val="0"/>
                <w:caps w:val="0"/>
                <w:color w:val="323232"/>
                <w:spacing w:val="30"/>
                <w:sz w:val="21"/>
                <w:szCs w:val="21"/>
                <w:bdr w:val="none" w:color="auto" w:sz="0" w:space="0"/>
              </w:rPr>
              <w:t>服务期限</w:t>
            </w:r>
          </w:p>
        </w:tc>
        <w:tc>
          <w:tcPr>
            <w:tcW w:w="2565" w:type="dxa"/>
            <w:tcBorders>
              <w:top w:val="single" w:color="auto" w:sz="12" w:space="0"/>
              <w:left w:val="single" w:color="auto" w:sz="8" w:space="0"/>
              <w:bottom w:val="single" w:color="auto" w:sz="8" w:space="0"/>
              <w:right w:val="single" w:color="auto" w:sz="8" w:space="0"/>
            </w:tcBorders>
            <w:shd w:val="clear" w:color="auto" w:fill="FFFFFF"/>
            <w:tcMar>
              <w:left w:w="108" w:type="dxa"/>
              <w:right w:w="108" w:type="dxa"/>
            </w:tcMar>
            <w:vAlign w:val="center"/>
          </w:tcPr>
          <w:p w14:paraId="15951F3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b/>
                <w:bCs/>
                <w:i w:val="0"/>
                <w:iCs w:val="0"/>
                <w:caps w:val="0"/>
                <w:color w:val="323232"/>
                <w:spacing w:val="30"/>
                <w:sz w:val="21"/>
                <w:szCs w:val="21"/>
                <w:bdr w:val="none" w:color="auto" w:sz="0" w:space="0"/>
              </w:rPr>
              <w:t>技术规格、参数及要求</w:t>
            </w:r>
          </w:p>
        </w:tc>
        <w:tc>
          <w:tcPr>
            <w:tcW w:w="2025" w:type="dxa"/>
            <w:tcBorders>
              <w:top w:val="single" w:color="auto" w:sz="12" w:space="0"/>
              <w:left w:val="single" w:color="auto" w:sz="8" w:space="0"/>
              <w:bottom w:val="single" w:color="auto" w:sz="8" w:space="0"/>
              <w:right w:val="single" w:color="auto" w:sz="12" w:space="0"/>
            </w:tcBorders>
            <w:shd w:val="clear" w:color="auto" w:fill="FFFFFF"/>
            <w:tcMar>
              <w:left w:w="108" w:type="dxa"/>
              <w:right w:w="108" w:type="dxa"/>
            </w:tcMar>
            <w:vAlign w:val="center"/>
          </w:tcPr>
          <w:p w14:paraId="3DD5774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b/>
                <w:bCs/>
                <w:i w:val="0"/>
                <w:iCs w:val="0"/>
                <w:caps w:val="0"/>
                <w:color w:val="323232"/>
                <w:spacing w:val="30"/>
                <w:sz w:val="21"/>
                <w:szCs w:val="21"/>
                <w:bdr w:val="none" w:color="auto" w:sz="0" w:space="0"/>
              </w:rPr>
              <w:t>费率最低限价（%）</w:t>
            </w:r>
          </w:p>
        </w:tc>
      </w:tr>
      <w:tr w14:paraId="38616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32" w:hRule="atLeast"/>
        </w:trPr>
        <w:tc>
          <w:tcPr>
            <w:tcW w:w="2235" w:type="dxa"/>
            <w:tcBorders>
              <w:top w:val="single" w:color="auto" w:sz="8" w:space="0"/>
              <w:left w:val="single" w:color="auto" w:sz="12" w:space="0"/>
              <w:bottom w:val="single" w:color="auto" w:sz="12" w:space="0"/>
              <w:right w:val="single" w:color="auto" w:sz="8" w:space="0"/>
            </w:tcBorders>
            <w:shd w:val="clear" w:color="auto" w:fill="FFFFFF"/>
            <w:tcMar>
              <w:left w:w="108" w:type="dxa"/>
              <w:right w:w="108" w:type="dxa"/>
            </w:tcMar>
            <w:vAlign w:val="center"/>
          </w:tcPr>
          <w:p w14:paraId="427AEF4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323232"/>
                <w:spacing w:val="30"/>
                <w:sz w:val="21"/>
                <w:szCs w:val="21"/>
                <w:bdr w:val="none" w:color="auto" w:sz="0" w:space="0"/>
              </w:rPr>
              <w:t>互联网+智慧医疗康复服务</w:t>
            </w:r>
          </w:p>
        </w:tc>
        <w:tc>
          <w:tcPr>
            <w:tcW w:w="1095" w:type="dxa"/>
            <w:tcBorders>
              <w:top w:val="single" w:color="auto" w:sz="8" w:space="0"/>
              <w:left w:val="single" w:color="auto" w:sz="8" w:space="0"/>
              <w:bottom w:val="single" w:color="auto" w:sz="12" w:space="0"/>
              <w:right w:val="single" w:color="auto" w:sz="8" w:space="0"/>
            </w:tcBorders>
            <w:shd w:val="clear" w:color="auto" w:fill="FFFFFF"/>
            <w:tcMar>
              <w:left w:w="108" w:type="dxa"/>
              <w:right w:w="108" w:type="dxa"/>
            </w:tcMar>
            <w:vAlign w:val="center"/>
          </w:tcPr>
          <w:p w14:paraId="75D4F60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323232"/>
                <w:spacing w:val="30"/>
                <w:sz w:val="21"/>
                <w:szCs w:val="21"/>
                <w:bdr w:val="none" w:color="auto" w:sz="0" w:space="0"/>
              </w:rPr>
              <w:t>2年</w:t>
            </w:r>
          </w:p>
        </w:tc>
        <w:tc>
          <w:tcPr>
            <w:tcW w:w="2565" w:type="dxa"/>
            <w:tcBorders>
              <w:top w:val="single" w:color="auto" w:sz="8" w:space="0"/>
              <w:left w:val="single" w:color="auto" w:sz="8" w:space="0"/>
              <w:bottom w:val="single" w:color="auto" w:sz="12" w:space="0"/>
              <w:right w:val="single" w:color="auto" w:sz="8" w:space="0"/>
            </w:tcBorders>
            <w:shd w:val="clear" w:color="auto" w:fill="FFFFFF"/>
            <w:tcMar>
              <w:left w:w="108" w:type="dxa"/>
              <w:right w:w="108" w:type="dxa"/>
            </w:tcMar>
            <w:vAlign w:val="center"/>
          </w:tcPr>
          <w:p w14:paraId="6730832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323232"/>
                <w:spacing w:val="30"/>
                <w:sz w:val="21"/>
                <w:szCs w:val="21"/>
                <w:bdr w:val="none" w:color="auto" w:sz="0" w:space="0"/>
              </w:rPr>
              <w:t>详见采购文件“采购需求”</w:t>
            </w:r>
          </w:p>
        </w:tc>
        <w:tc>
          <w:tcPr>
            <w:tcW w:w="2025" w:type="dxa"/>
            <w:tcBorders>
              <w:top w:val="single" w:color="auto" w:sz="8" w:space="0"/>
              <w:left w:val="single" w:color="auto" w:sz="8" w:space="0"/>
              <w:bottom w:val="single" w:color="auto" w:sz="12" w:space="0"/>
              <w:right w:val="single" w:color="auto" w:sz="12" w:space="0"/>
            </w:tcBorders>
            <w:shd w:val="clear" w:color="auto" w:fill="FFFFFF"/>
            <w:tcMar>
              <w:left w:w="108" w:type="dxa"/>
              <w:right w:w="108" w:type="dxa"/>
            </w:tcMar>
            <w:vAlign w:val="center"/>
          </w:tcPr>
          <w:p w14:paraId="07D027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微软雅黑" w:hAnsi="微软雅黑" w:eastAsia="微软雅黑" w:cs="微软雅黑"/>
                <w:i w:val="0"/>
                <w:iCs w:val="0"/>
                <w:caps w:val="0"/>
                <w:color w:val="323232"/>
                <w:spacing w:val="30"/>
                <w:sz w:val="21"/>
                <w:szCs w:val="21"/>
                <w:bdr w:val="none" w:color="auto" w:sz="0" w:space="0"/>
              </w:rPr>
              <w:t>50%</w:t>
            </w:r>
          </w:p>
        </w:tc>
      </w:tr>
    </w:tbl>
    <w:p w14:paraId="39F3F4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注：供应商的响应报价不得低于该项目最低限价，否则将被认定为无效响应。</w:t>
      </w:r>
    </w:p>
    <w:p w14:paraId="17867C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2.本项目不接受联合体投标（响应），不允许转包分包。</w:t>
      </w:r>
    </w:p>
    <w:p w14:paraId="3CFB27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3.合同履行期限：自合同签订之日起2年。</w:t>
      </w:r>
    </w:p>
    <w:p w14:paraId="77886D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567"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二、申请人的资格要求：</w:t>
      </w:r>
    </w:p>
    <w:p w14:paraId="134558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1.供应商应具备《中华人民共和国政府釆购法》第二十二条规定，提供下列材料：</w:t>
      </w:r>
    </w:p>
    <w:p w14:paraId="398B3E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1）具有独立承担民事责任的能力：在中华人民共和国境内注册的法人或其他组织或自然人， 投标（响应）时提交有效的营业执照（或事业法人登记证或社会团体法人登记证明或身份证等相关证明） 副本复印件。分支机构投标（响应）的，提供总公司和分支机构营业执照副本复印件，总公司出具给分支机构的授权书。已由总公司（总所）授权的，总公司（总所） 取得的相关资质证书对分支机构有效，法律法规或者行业另有规定的除外。</w:t>
      </w:r>
    </w:p>
    <w:p w14:paraId="012B4A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2）有依法缴纳税收和社会保障资金的良好记录：响应文件中提供《资格条件承诺函》（按提供的承诺函格式响应）。</w:t>
      </w:r>
    </w:p>
    <w:p w14:paraId="67E8E6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3）具有良好的商业信誉和健全的财务会计制度：响应文件中提供《资格条件承诺函》（按提供的承诺函格式响应）。</w:t>
      </w:r>
    </w:p>
    <w:p w14:paraId="48AE80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4）履行合同所必须的设备和专业技术能力：响应文件中提供《资格条件承诺函》（按提供的承诺函格式响应）。</w:t>
      </w:r>
    </w:p>
    <w:p w14:paraId="5127BE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5）参加采购活动前3年内，在经营活动中没有重大违法记录：响应文件中提供《资格条件承诺函》（按提供的承诺函格式响应）。重大违法记录，是指供应商因违法经营受到刑事处罚或者责令停产停业、吊销许可证或者执照、较大数额罚款等行政处罚。（根据财库〔2022〕3 号文，较大数额罚款认定为200万元以上的罚款，法律、行政法规以及国务院有关部门明确规定相关领域“较大数额罚款”标准高于200万元的，从其规定）。</w:t>
      </w:r>
    </w:p>
    <w:p w14:paraId="1892BD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6）法律、行政法规规定的其他条件。（响应文件中提供资格声明函）</w:t>
      </w:r>
    </w:p>
    <w:p w14:paraId="1B6DC0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2.单位负责人为同一人或者存在直接控股、 管理关系的不同供应商，不得同时参加本采购项目响应。（响应文件中提供资格声明函）</w:t>
      </w:r>
    </w:p>
    <w:p w14:paraId="00BBF5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3.为本项目提供整体设计、 规范编制或者项目管理、 监理、 检测等服务的供应商，不得再参与本项目响应。（响应文件中提供资格声明函）</w:t>
      </w:r>
    </w:p>
    <w:p w14:paraId="112CFF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4.供应商未被列入“信用中国”网站（www.creditchina.gov.cn）以下任意记录名单之一：①记录失信被执行人；②重大税收违法失信主体；③严重失信主体名单。同时，不处于中国政府采购网（www.ccgp.gov.cn）“政府采购严重违法失信行为信息记录”中的禁止参加政府采购活动期间。还须同时提供“信用中国”网站（http：//credit.zhuhai.gov.cn/）的信用记录查询结果。（说明：①供应商的响应文件可不提供本项证明文件，由采购人于响应截止当日在“信用中国”网站（www.creditchina.gov.cn）及中国政府采购网（www.ccgp.gov.cn）查询结果为准，如在上述网站查询结果均显示没有相关记录，视为不存在上述不良信用记录。②采购人同时对信用信息查询记录和证据截图或下载存档。③供应商为分支机构的，同时对该分支机构所属总公司（总所）进行信用记录查询，该分支机构所属总公司（总所）存在不良信用记录的，视同供应商存在不良信用记录。④如相关失信记录已失效，响应文件中需提供相关证明资料。）</w:t>
      </w:r>
    </w:p>
    <w:p w14:paraId="192043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5.落实政府采购政策需满足的资格要求：无。</w:t>
      </w:r>
    </w:p>
    <w:p w14:paraId="30E2BB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6.本项目的特定资格要求：</w:t>
      </w:r>
    </w:p>
    <w:p w14:paraId="4E3F9A3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1）具有相应的医疗器械经营许可证（备案）证明或《医疗器械生产企业许可证》。</w:t>
      </w:r>
    </w:p>
    <w:p w14:paraId="664040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2"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2）医疗器械（第一类医疗器械除外）须提供《医疗器械注册证》。</w:t>
      </w:r>
    </w:p>
    <w:p w14:paraId="161365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567"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三、采购信息公告时间</w:t>
      </w:r>
    </w:p>
    <w:p w14:paraId="1D725C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时间：</w:t>
      </w:r>
      <w:r>
        <w:rPr>
          <w:rFonts w:hint="eastAsia" w:ascii="微软雅黑" w:hAnsi="微软雅黑" w:eastAsia="微软雅黑" w:cs="微软雅黑"/>
          <w:i w:val="0"/>
          <w:iCs w:val="0"/>
          <w:caps w:val="0"/>
          <w:color w:val="323232"/>
          <w:spacing w:val="30"/>
          <w:sz w:val="21"/>
          <w:szCs w:val="21"/>
          <w:u w:val="single"/>
          <w:bdr w:val="none" w:color="auto" w:sz="0" w:space="0"/>
          <w:shd w:val="clear" w:fill="FEFEFE"/>
        </w:rPr>
        <w:t>2026年1月8</w:t>
      </w:r>
      <w:r>
        <w:rPr>
          <w:rFonts w:hint="eastAsia" w:ascii="微软雅黑" w:hAnsi="微软雅黑" w:eastAsia="微软雅黑" w:cs="微软雅黑"/>
          <w:i w:val="0"/>
          <w:iCs w:val="0"/>
          <w:caps w:val="0"/>
          <w:color w:val="323232"/>
          <w:spacing w:val="30"/>
          <w:sz w:val="21"/>
          <w:szCs w:val="21"/>
          <w:bdr w:val="none" w:color="auto" w:sz="0" w:space="0"/>
          <w:shd w:val="clear" w:fill="FEFEFE"/>
        </w:rPr>
        <w:t>日至</w:t>
      </w:r>
      <w:r>
        <w:rPr>
          <w:rFonts w:hint="eastAsia" w:ascii="微软雅黑" w:hAnsi="微软雅黑" w:eastAsia="微软雅黑" w:cs="微软雅黑"/>
          <w:i w:val="0"/>
          <w:iCs w:val="0"/>
          <w:caps w:val="0"/>
          <w:color w:val="323232"/>
          <w:spacing w:val="30"/>
          <w:sz w:val="21"/>
          <w:szCs w:val="21"/>
          <w:u w:val="single"/>
          <w:bdr w:val="none" w:color="auto" w:sz="0" w:space="0"/>
          <w:shd w:val="clear" w:fill="FEFEFE"/>
        </w:rPr>
        <w:t>2026年1月13日</w:t>
      </w:r>
      <w:r>
        <w:rPr>
          <w:rFonts w:hint="eastAsia" w:ascii="微软雅黑" w:hAnsi="微软雅黑" w:eastAsia="微软雅黑" w:cs="微软雅黑"/>
          <w:i w:val="0"/>
          <w:iCs w:val="0"/>
          <w:caps w:val="0"/>
          <w:color w:val="323232"/>
          <w:spacing w:val="30"/>
          <w:sz w:val="21"/>
          <w:szCs w:val="21"/>
          <w:bdr w:val="none" w:color="auto" w:sz="0" w:space="0"/>
          <w:shd w:val="clear" w:fill="FEFEFE"/>
        </w:rPr>
        <w:t>,每天上午8:00至12:00，下午14:00至 17:00（北京时间，法定节假日除外）</w:t>
      </w:r>
    </w:p>
    <w:p w14:paraId="6C02D9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方式：按采购信息公告要求通过电子邮件报名（邮箱地址：19779047@qq.com）。</w:t>
      </w:r>
    </w:p>
    <w:p w14:paraId="64793B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567"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四、提交响应文件截止时间和地点</w:t>
      </w:r>
    </w:p>
    <w:p w14:paraId="38D2F5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2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u w:val="single"/>
          <w:bdr w:val="none" w:color="auto" w:sz="0" w:space="0"/>
          <w:shd w:val="clear" w:fill="FEFEFE"/>
        </w:rPr>
        <w:t> 截止时间：2026年1月13日17点00分</w:t>
      </w:r>
      <w:r>
        <w:rPr>
          <w:rFonts w:hint="eastAsia" w:ascii="微软雅黑" w:hAnsi="微软雅黑" w:eastAsia="微软雅黑" w:cs="微软雅黑"/>
          <w:i w:val="0"/>
          <w:iCs w:val="0"/>
          <w:caps w:val="0"/>
          <w:color w:val="323232"/>
          <w:spacing w:val="30"/>
          <w:sz w:val="21"/>
          <w:szCs w:val="21"/>
          <w:bdr w:val="none" w:color="auto" w:sz="0" w:space="0"/>
          <w:shd w:val="clear" w:fill="FEFEFE"/>
        </w:rPr>
        <w:t>（北京时间）</w:t>
      </w:r>
      <w:bookmarkStart w:id="0" w:name="_GoBack"/>
      <w:bookmarkEnd w:id="0"/>
    </w:p>
    <w:p w14:paraId="2C57F1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地点：玉树州玉树市结古镇哲龙达巷3号玉树州妇幼保健院门诊4楼采购办。</w:t>
      </w:r>
    </w:p>
    <w:p w14:paraId="1DCB6D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567"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五、开启</w:t>
      </w:r>
    </w:p>
    <w:p w14:paraId="0802EC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2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时间：</w:t>
      </w:r>
      <w:r>
        <w:rPr>
          <w:rFonts w:hint="eastAsia" w:ascii="微软雅黑" w:hAnsi="微软雅黑" w:eastAsia="微软雅黑" w:cs="微软雅黑"/>
          <w:i w:val="0"/>
          <w:iCs w:val="0"/>
          <w:caps w:val="0"/>
          <w:color w:val="323232"/>
          <w:spacing w:val="30"/>
          <w:sz w:val="21"/>
          <w:szCs w:val="21"/>
          <w:u w:val="single"/>
          <w:bdr w:val="none" w:color="auto" w:sz="0" w:space="0"/>
          <w:shd w:val="clear" w:fill="FEFEFE"/>
        </w:rPr>
        <w:t>2026年1月14日08时00分</w:t>
      </w:r>
      <w:r>
        <w:rPr>
          <w:rFonts w:hint="eastAsia" w:ascii="微软雅黑" w:hAnsi="微软雅黑" w:eastAsia="微软雅黑" w:cs="微软雅黑"/>
          <w:i w:val="0"/>
          <w:iCs w:val="0"/>
          <w:caps w:val="0"/>
          <w:color w:val="323232"/>
          <w:spacing w:val="30"/>
          <w:sz w:val="21"/>
          <w:szCs w:val="21"/>
          <w:bdr w:val="none" w:color="auto" w:sz="0" w:space="0"/>
          <w:shd w:val="clear" w:fill="FEFEFE"/>
        </w:rPr>
        <w:t>（北京时间）</w:t>
      </w:r>
    </w:p>
    <w:p w14:paraId="2EC859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地点：玉树州玉树市结古镇哲龙达巷3号玉树州妇幼保健院门诊4楼采购办。</w:t>
      </w:r>
    </w:p>
    <w:p w14:paraId="0CC5B9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567"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六、公告期限</w:t>
      </w:r>
    </w:p>
    <w:p w14:paraId="467238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自本公告发布之日起3个工作日。</w:t>
      </w:r>
    </w:p>
    <w:p w14:paraId="68E28A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567"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1"/>
          <w:szCs w:val="21"/>
          <w:bdr w:val="none" w:color="auto" w:sz="0" w:space="0"/>
          <w:shd w:val="clear" w:fill="FEFEFE"/>
        </w:rPr>
        <w:t>七、对本次采购提出询问，请按以下方式联系。</w:t>
      </w:r>
    </w:p>
    <w:p w14:paraId="2E306D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1.采购人信息</w:t>
      </w:r>
    </w:p>
    <w:p w14:paraId="662457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04"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名称：玉树州妇幼保健院</w:t>
      </w:r>
    </w:p>
    <w:p w14:paraId="4DE41C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04"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地址：玉树州玉树市结古镇哲龙达巷3号</w:t>
      </w:r>
    </w:p>
    <w:p w14:paraId="0807DC9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2.项目联系方式 </w:t>
      </w:r>
    </w:p>
    <w:p w14:paraId="7FB92A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04"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项目联系人：俄先生</w:t>
      </w:r>
    </w:p>
    <w:p w14:paraId="6D8E18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04"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电话：18997360268</w:t>
      </w:r>
    </w:p>
    <w:p w14:paraId="6336DE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404"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w:t>
      </w:r>
    </w:p>
    <w:p w14:paraId="31F2C3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b/>
          <w:bCs/>
          <w:i w:val="0"/>
          <w:iCs w:val="0"/>
          <w:caps w:val="0"/>
          <w:color w:val="323232"/>
          <w:spacing w:val="30"/>
          <w:sz w:val="28"/>
          <w:szCs w:val="28"/>
          <w:bdr w:val="none" w:color="auto" w:sz="0" w:space="0"/>
          <w:shd w:val="clear" w:fill="FEFEFE"/>
        </w:rPr>
        <w:t>                     采购需求</w:t>
      </w:r>
    </w:p>
    <w:p w14:paraId="6EC82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42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宋体" w:hAnsi="宋体" w:eastAsia="宋体" w:cs="宋体"/>
          <w:b/>
          <w:bCs/>
          <w:i w:val="0"/>
          <w:iCs w:val="0"/>
          <w:caps w:val="0"/>
          <w:color w:val="323232"/>
          <w:spacing w:val="30"/>
          <w:sz w:val="21"/>
          <w:szCs w:val="21"/>
          <w:bdr w:val="none" w:color="auto" w:sz="0" w:space="0"/>
          <w:shd w:val="clear" w:fill="FEFEFE"/>
        </w:rPr>
        <w:t>一、</w:t>
      </w:r>
      <w:r>
        <w:rPr>
          <w:rFonts w:hint="eastAsia" w:ascii="微软雅黑" w:hAnsi="微软雅黑" w:eastAsia="微软雅黑" w:cs="微软雅黑"/>
          <w:b/>
          <w:bCs/>
          <w:i w:val="0"/>
          <w:iCs w:val="0"/>
          <w:caps w:val="0"/>
          <w:color w:val="323232"/>
          <w:spacing w:val="30"/>
          <w:sz w:val="21"/>
          <w:szCs w:val="21"/>
          <w:bdr w:val="none" w:color="auto" w:sz="0" w:space="0"/>
          <w:shd w:val="clear" w:fill="FEFEFE"/>
        </w:rPr>
        <w:t>有关说明：</w:t>
      </w:r>
    </w:p>
    <w:p w14:paraId="5CE624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 供应商须对本项目的采购标的进行整体响应，任何只对本项目采购标的其中一部分内容、数量进行的响应都被视为无效响应。</w:t>
      </w:r>
    </w:p>
    <w:p w14:paraId="7792D0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采购需求中标注“★”号部分为关键技术参数、功能、要求，任何对这些项目的负偏离将被视为未实质性响应采购文件要求而作无效响应处理。响应文件中须按照“★”条款的要求逐条响应（若要求提供其他证明材料,还须提供要求的证明材料），“★”条款技术指标负偏离或未响应，作无效响应处理。</w:t>
      </w:r>
    </w:p>
    <w:p w14:paraId="5B1C4D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3.采购需求中标注“▲”号条款为重要技术参数，响应文件中须按照“▲”条款的要求逐条响应并标注证明文件所在页码（若要求提供其他证明材料,还须提供要求的证明材料），“▲”条款技术指标负偏离或未响应或未标注证明文件所在页码，对应项将不予以计分。但不作为无效响应条款。</w:t>
      </w:r>
    </w:p>
    <w:p w14:paraId="3928A3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4.响应报价（总价）中不得包含采购文件要求以外的内容，否则，在评审时不予核减。若报价有缺漏项的，缺漏项部分的价格视为已包含在响应报价中，成交后不作任何调整。 </w:t>
      </w:r>
    </w:p>
    <w:p w14:paraId="4C3518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42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宋体" w:hAnsi="宋体" w:eastAsia="宋体" w:cs="宋体"/>
          <w:b/>
          <w:bCs/>
          <w:i w:val="0"/>
          <w:iCs w:val="0"/>
          <w:caps w:val="0"/>
          <w:color w:val="323232"/>
          <w:spacing w:val="30"/>
          <w:sz w:val="21"/>
          <w:szCs w:val="21"/>
          <w:bdr w:val="none" w:color="auto" w:sz="0" w:space="0"/>
          <w:shd w:val="clear" w:fill="FEFEFE"/>
        </w:rPr>
        <w:t>二、项目基本概况：</w:t>
      </w:r>
    </w:p>
    <w:tbl>
      <w:tblPr>
        <w:tblW w:w="799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FEFE"/>
        <w:tblLayout w:type="autofit"/>
        <w:tblCellMar>
          <w:top w:w="0" w:type="dxa"/>
          <w:left w:w="0" w:type="dxa"/>
          <w:bottom w:w="0" w:type="dxa"/>
          <w:right w:w="0" w:type="dxa"/>
        </w:tblCellMar>
      </w:tblPr>
      <w:tblGrid>
        <w:gridCol w:w="1955"/>
        <w:gridCol w:w="1362"/>
        <w:gridCol w:w="1586"/>
        <w:gridCol w:w="3092"/>
      </w:tblGrid>
      <w:tr w14:paraId="69219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EFEFE"/>
          <w:tblCellMar>
            <w:top w:w="0" w:type="dxa"/>
            <w:left w:w="0" w:type="dxa"/>
            <w:bottom w:w="0" w:type="dxa"/>
            <w:right w:w="0" w:type="dxa"/>
          </w:tblCellMar>
        </w:tblPrEx>
        <w:trPr>
          <w:trHeight w:val="674" w:hRule="atLeast"/>
        </w:trPr>
        <w:tc>
          <w:tcPr>
            <w:tcW w:w="1830" w:type="dxa"/>
            <w:tcBorders>
              <w:top w:val="single" w:color="auto" w:sz="12" w:space="0"/>
              <w:left w:val="single" w:color="auto" w:sz="12" w:space="0"/>
              <w:bottom w:val="single" w:color="auto" w:sz="8" w:space="0"/>
              <w:right w:val="single" w:color="auto" w:sz="8" w:space="0"/>
            </w:tcBorders>
            <w:shd w:val="clear" w:color="auto" w:fill="EEECE1"/>
            <w:tcMar>
              <w:left w:w="108" w:type="dxa"/>
              <w:right w:w="108" w:type="dxa"/>
            </w:tcMar>
            <w:vAlign w:val="center"/>
          </w:tcPr>
          <w:p w14:paraId="00E9260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bCs/>
                <w:i w:val="0"/>
                <w:iCs w:val="0"/>
                <w:caps w:val="0"/>
                <w:color w:val="323232"/>
                <w:spacing w:val="30"/>
                <w:sz w:val="21"/>
                <w:szCs w:val="21"/>
                <w:bdr w:val="none" w:color="auto" w:sz="0" w:space="0"/>
              </w:rPr>
              <w:t>采购内容</w:t>
            </w:r>
          </w:p>
        </w:tc>
        <w:tc>
          <w:tcPr>
            <w:tcW w:w="1275" w:type="dxa"/>
            <w:tcBorders>
              <w:top w:val="single" w:color="auto" w:sz="12" w:space="0"/>
              <w:left w:val="single" w:color="auto" w:sz="8" w:space="0"/>
              <w:bottom w:val="single" w:color="auto" w:sz="8" w:space="0"/>
              <w:right w:val="single" w:color="auto" w:sz="8" w:space="0"/>
            </w:tcBorders>
            <w:shd w:val="clear" w:color="auto" w:fill="EEECE1"/>
            <w:tcMar>
              <w:left w:w="108" w:type="dxa"/>
              <w:right w:w="108" w:type="dxa"/>
            </w:tcMar>
            <w:vAlign w:val="center"/>
          </w:tcPr>
          <w:p w14:paraId="02A8CE1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bCs/>
                <w:i w:val="0"/>
                <w:iCs w:val="0"/>
                <w:caps w:val="0"/>
                <w:color w:val="323232"/>
                <w:spacing w:val="30"/>
                <w:sz w:val="21"/>
                <w:szCs w:val="21"/>
                <w:bdr w:val="none" w:color="auto" w:sz="0" w:space="0"/>
              </w:rPr>
              <w:t>服务期限</w:t>
            </w:r>
          </w:p>
        </w:tc>
        <w:tc>
          <w:tcPr>
            <w:tcW w:w="1485" w:type="dxa"/>
            <w:tcBorders>
              <w:top w:val="single" w:color="auto" w:sz="12" w:space="0"/>
              <w:left w:val="single" w:color="auto" w:sz="8" w:space="0"/>
              <w:bottom w:val="single" w:color="auto" w:sz="8" w:space="0"/>
              <w:right w:val="single" w:color="auto" w:sz="8" w:space="0"/>
            </w:tcBorders>
            <w:shd w:val="clear" w:color="auto" w:fill="EEECE1"/>
            <w:tcMar>
              <w:left w:w="108" w:type="dxa"/>
              <w:right w:w="108" w:type="dxa"/>
            </w:tcMar>
            <w:vAlign w:val="center"/>
          </w:tcPr>
          <w:p w14:paraId="287E650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bCs/>
                <w:i w:val="0"/>
                <w:iCs w:val="0"/>
                <w:caps w:val="0"/>
                <w:color w:val="323232"/>
                <w:spacing w:val="30"/>
                <w:sz w:val="21"/>
                <w:szCs w:val="21"/>
                <w:bdr w:val="none" w:color="auto" w:sz="0" w:space="0"/>
              </w:rPr>
              <w:t>费率最低限价（%）</w:t>
            </w:r>
          </w:p>
        </w:tc>
        <w:tc>
          <w:tcPr>
            <w:tcW w:w="2895" w:type="dxa"/>
            <w:tcBorders>
              <w:top w:val="single" w:color="auto" w:sz="12" w:space="0"/>
              <w:left w:val="single" w:color="auto" w:sz="8" w:space="0"/>
              <w:bottom w:val="single" w:color="auto" w:sz="8" w:space="0"/>
              <w:right w:val="single" w:color="auto" w:sz="12" w:space="0"/>
            </w:tcBorders>
            <w:shd w:val="clear" w:color="auto" w:fill="EEECE1"/>
            <w:tcMar>
              <w:left w:w="108" w:type="dxa"/>
              <w:right w:w="108" w:type="dxa"/>
            </w:tcMar>
            <w:vAlign w:val="top"/>
          </w:tcPr>
          <w:p w14:paraId="7702161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bCs/>
                <w:i w:val="0"/>
                <w:iCs w:val="0"/>
                <w:caps w:val="0"/>
                <w:color w:val="323232"/>
                <w:spacing w:val="30"/>
                <w:sz w:val="21"/>
                <w:szCs w:val="21"/>
                <w:bdr w:val="none" w:color="auto" w:sz="0" w:space="0"/>
              </w:rPr>
              <w:t> </w:t>
            </w:r>
          </w:p>
          <w:p w14:paraId="54B6DE6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b/>
                <w:bCs/>
                <w:i w:val="0"/>
                <w:iCs w:val="0"/>
                <w:caps w:val="0"/>
                <w:color w:val="323232"/>
                <w:spacing w:val="30"/>
                <w:sz w:val="21"/>
                <w:szCs w:val="21"/>
                <w:bdr w:val="none" w:color="auto" w:sz="0" w:space="0"/>
              </w:rPr>
              <w:t>备注</w:t>
            </w:r>
          </w:p>
        </w:tc>
      </w:tr>
      <w:tr w14:paraId="606A1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0" w:hRule="atLeast"/>
        </w:trPr>
        <w:tc>
          <w:tcPr>
            <w:tcW w:w="1830" w:type="dxa"/>
            <w:tcBorders>
              <w:top w:val="single" w:color="auto" w:sz="8" w:space="0"/>
              <w:left w:val="single" w:color="auto" w:sz="12" w:space="0"/>
              <w:bottom w:val="single" w:color="auto" w:sz="12" w:space="0"/>
              <w:right w:val="single" w:color="auto" w:sz="8" w:space="0"/>
            </w:tcBorders>
            <w:shd w:val="clear" w:color="auto" w:fill="FEFEFE"/>
            <w:tcMar>
              <w:left w:w="108" w:type="dxa"/>
              <w:right w:w="108" w:type="dxa"/>
            </w:tcMar>
            <w:vAlign w:val="center"/>
          </w:tcPr>
          <w:p w14:paraId="2572B69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23232"/>
                <w:spacing w:val="30"/>
                <w:sz w:val="21"/>
                <w:szCs w:val="21"/>
                <w:bdr w:val="none" w:color="auto" w:sz="0" w:space="0"/>
              </w:rPr>
              <w:t>互联网+智慧医疗康复服务</w:t>
            </w:r>
          </w:p>
        </w:tc>
        <w:tc>
          <w:tcPr>
            <w:tcW w:w="1275" w:type="dxa"/>
            <w:tcBorders>
              <w:top w:val="single" w:color="auto" w:sz="8" w:space="0"/>
              <w:left w:val="single" w:color="auto" w:sz="8" w:space="0"/>
              <w:bottom w:val="single" w:color="auto" w:sz="12" w:space="0"/>
              <w:right w:val="single" w:color="auto" w:sz="8" w:space="0"/>
            </w:tcBorders>
            <w:shd w:val="clear" w:color="auto" w:fill="FEFEFE"/>
            <w:tcMar>
              <w:left w:w="108" w:type="dxa"/>
              <w:right w:w="108" w:type="dxa"/>
            </w:tcMar>
            <w:vAlign w:val="center"/>
          </w:tcPr>
          <w:p w14:paraId="65BBD16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23232"/>
                <w:spacing w:val="30"/>
                <w:sz w:val="21"/>
                <w:szCs w:val="21"/>
                <w:bdr w:val="none" w:color="auto" w:sz="0" w:space="0"/>
              </w:rPr>
              <w:t>2年</w:t>
            </w:r>
          </w:p>
        </w:tc>
        <w:tc>
          <w:tcPr>
            <w:tcW w:w="1485" w:type="dxa"/>
            <w:tcBorders>
              <w:top w:val="single" w:color="auto" w:sz="8" w:space="0"/>
              <w:left w:val="single" w:color="auto" w:sz="8" w:space="0"/>
              <w:bottom w:val="single" w:color="auto" w:sz="12" w:space="0"/>
              <w:right w:val="single" w:color="auto" w:sz="8" w:space="0"/>
            </w:tcBorders>
            <w:shd w:val="clear" w:color="auto" w:fill="FEFEFE"/>
            <w:tcMar>
              <w:left w:w="108" w:type="dxa"/>
              <w:right w:w="108" w:type="dxa"/>
            </w:tcMar>
            <w:vAlign w:val="center"/>
          </w:tcPr>
          <w:p w14:paraId="4ADEE0C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23232"/>
                <w:spacing w:val="30"/>
                <w:sz w:val="21"/>
                <w:szCs w:val="21"/>
                <w:bdr w:val="none" w:color="auto" w:sz="0" w:space="0"/>
              </w:rPr>
              <w:t>50%</w:t>
            </w:r>
          </w:p>
        </w:tc>
        <w:tc>
          <w:tcPr>
            <w:tcW w:w="2895" w:type="dxa"/>
            <w:tcBorders>
              <w:top w:val="single" w:color="auto" w:sz="8" w:space="0"/>
              <w:left w:val="single" w:color="auto" w:sz="8" w:space="0"/>
              <w:bottom w:val="single" w:color="auto" w:sz="12" w:space="0"/>
              <w:right w:val="single" w:color="auto" w:sz="12" w:space="0"/>
            </w:tcBorders>
            <w:shd w:val="clear" w:color="auto" w:fill="FEFEFE"/>
            <w:tcMar>
              <w:left w:w="108" w:type="dxa"/>
              <w:right w:w="108" w:type="dxa"/>
            </w:tcMar>
            <w:vAlign w:val="center"/>
          </w:tcPr>
          <w:p w14:paraId="02DE5B5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center"/>
            </w:pPr>
            <w:r>
              <w:rPr>
                <w:rFonts w:hint="eastAsia" w:ascii="宋体" w:hAnsi="宋体" w:eastAsia="宋体" w:cs="宋体"/>
                <w:i w:val="0"/>
                <w:iCs w:val="0"/>
                <w:caps w:val="0"/>
                <w:color w:val="323232"/>
                <w:spacing w:val="30"/>
                <w:sz w:val="21"/>
                <w:szCs w:val="21"/>
                <w:bdr w:val="none" w:color="auto" w:sz="0" w:space="0"/>
              </w:rPr>
              <w:t>医院收取的管理费率不低于总收取套餐费用的50%。</w:t>
            </w:r>
          </w:p>
        </w:tc>
      </w:tr>
    </w:tbl>
    <w:p w14:paraId="4CB849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注：1.供应商必须对本项目的全部内容进行报价，如有缺漏，将导致响应无效；</w:t>
      </w:r>
    </w:p>
    <w:p w14:paraId="20E057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2.供应商的报价不得低于最低限价，否则为无效响应。</w:t>
      </w:r>
    </w:p>
    <w:p w14:paraId="0F6813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42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宋体" w:hAnsi="宋体" w:eastAsia="宋体" w:cs="宋体"/>
          <w:b/>
          <w:bCs/>
          <w:i w:val="0"/>
          <w:iCs w:val="0"/>
          <w:caps w:val="0"/>
          <w:color w:val="323232"/>
          <w:spacing w:val="30"/>
          <w:sz w:val="21"/>
          <w:szCs w:val="21"/>
          <w:bdr w:val="none" w:color="auto" w:sz="0" w:space="0"/>
          <w:shd w:val="clear" w:fill="FEFEFE"/>
        </w:rPr>
        <w:t>三、</w:t>
      </w:r>
      <w:r>
        <w:rPr>
          <w:rFonts w:hint="eastAsia" w:ascii="微软雅黑" w:hAnsi="微软雅黑" w:eastAsia="微软雅黑" w:cs="微软雅黑"/>
          <w:b/>
          <w:bCs/>
          <w:i w:val="0"/>
          <w:iCs w:val="0"/>
          <w:caps w:val="0"/>
          <w:color w:val="323232"/>
          <w:spacing w:val="30"/>
          <w:sz w:val="21"/>
          <w:szCs w:val="21"/>
          <w:bdr w:val="none" w:color="auto" w:sz="0" w:space="0"/>
          <w:shd w:val="clear" w:fill="FEFEFE"/>
        </w:rPr>
        <w:t>服务内容及要求</w:t>
      </w:r>
    </w:p>
    <w:p w14:paraId="15624C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1.在技术支持方面，借助互联网、物联网、大数据和人工智能等技术，打造居家医疗综合运营服务平台，实现远程医疗、在线咨询、健康监测等功能，提升医院诊疗效率与覆盖面。</w:t>
      </w:r>
    </w:p>
    <w:p w14:paraId="6F45F0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2.设备供应上，提供生物反馈电刺激治疗仪等多种物联网设备，满足各科室居家康复与健康管理项目需求。服务体系构建上，为患者提供 N 对一服务，保障患者居家康复效果。</w:t>
      </w:r>
    </w:p>
    <w:p w14:paraId="31A032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3.运营支持层面，负责软件（医疗健康管理服务平台、移动端管理小程序、患者端 APP ）、物流（物联网设备往返物流）、检测（设备租赁后的消毒、检测、再包装）等工作，助力采购人开展居家健康管理业务，实现医疗资源合理分配，提高整体医疗服务质量与口碑 。</w:t>
      </w:r>
    </w:p>
    <w:p w14:paraId="0A244C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4.康复配套设备</w:t>
      </w:r>
    </w:p>
    <w:p w14:paraId="23CB6A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（1）功能要求：支持盆底表面肌电值评估，具备神经肌肉电刺激、肌电触发电刺激、多媒体生物反馈训练四种等核心训练模式，适用于产后子宫复旧、腹直肌分、术后康复和盆底康复等场景。</w:t>
      </w:r>
    </w:p>
    <w:p w14:paraId="64EA9D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（2）技术性能：设备操作界面简洁易懂，支持与患者端 APP、医生端管理系统数据实时同步，可自动记录治疗参数、治疗时长、肌电数据等信息，便于医生远程查看及评估。</w:t>
      </w:r>
    </w:p>
    <w:p w14:paraId="47694A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（3）技术参数要求：</w:t>
      </w:r>
    </w:p>
    <w:p w14:paraId="4B8561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①1通道，包含电刺激、表面肌电采集和生物反馈训练；</w:t>
      </w:r>
    </w:p>
    <w:p w14:paraId="0A4324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②主机具有无线传输功能，可实现主机与APP软件、生物刺激反馈软件等联合使用，实现无线生物反馈，开启多场景生物反馈评估及训练，如站立，行走，模拟爬梯等生活场景下的生物反馈训练；</w:t>
      </w:r>
    </w:p>
    <w:p w14:paraId="758A0A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③可实现≥4部位治疗方案的开展，且2通道电流独立可调；</w:t>
      </w:r>
    </w:p>
    <w:p w14:paraId="1BE362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④输出电流调节步长：1mA。</w:t>
      </w:r>
    </w:p>
    <w:p w14:paraId="77F63C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⑤脉冲宽度40μs～1000μs，偏差不超过±30％；</w:t>
      </w:r>
    </w:p>
    <w:p w14:paraId="7710D6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⑥脉冲频率1Hz～250Hz，偏差不超过±30%； </w:t>
      </w:r>
    </w:p>
    <w:p w14:paraId="73144C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⑦刺激/休息时间：≥30s可调，最小可调节步长1s ；</w:t>
      </w:r>
    </w:p>
    <w:p w14:paraId="3C3380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⑧实时评估，生物反馈表面肌电评估(有正常对照值),评估后自动推荐治疗方案。</w:t>
      </w:r>
    </w:p>
    <w:p w14:paraId="2FE06B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⑨包含≥2种电刺激模式，包含神经肌肉电刺激、肌电触发电刺激；</w:t>
      </w:r>
    </w:p>
    <w:p w14:paraId="678931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Microsoft YaHei UI" w:hAnsi="Microsoft YaHei UI" w:eastAsia="Microsoft YaHei UI" w:cs="Microsoft YaHei UI"/>
          <w:i w:val="0"/>
          <w:iCs w:val="0"/>
          <w:caps w:val="0"/>
          <w:color w:val="353535"/>
          <w:spacing w:val="0"/>
          <w:sz w:val="21"/>
          <w:szCs w:val="21"/>
          <w:bdr w:val="none" w:color="auto" w:sz="0" w:space="0"/>
          <w:shd w:val="clear" w:fill="FFFFFF"/>
        </w:rPr>
        <w:t>        ⑩可自定义治疗方案，并可根据用户习惯对自定义方案进行排序；</w:t>
      </w:r>
    </w:p>
    <w:p w14:paraId="07DA57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⑪统计分析功能：可汇总导出患者的诊疗记录，可分析统计医生工作量、患者治疗数据以及耗材使用情况；</w:t>
      </w:r>
    </w:p>
    <w:p w14:paraId="324ACEFF">
      <w:pPr>
        <w:keepNext w:val="0"/>
        <w:keepLines w:val="0"/>
        <w:widowControl/>
        <w:suppressLineNumbers w:val="0"/>
        <w:jc w:val="left"/>
      </w:pPr>
      <w:r>
        <w:rPr>
          <w:rFonts w:hint="eastAsia" w:ascii="Microsoft YaHei UI" w:hAnsi="Microsoft YaHei UI" w:eastAsia="Microsoft YaHei UI" w:cs="Microsoft YaHei UI"/>
          <w:i w:val="0"/>
          <w:iCs w:val="0"/>
          <w:caps w:val="0"/>
          <w:color w:val="323232"/>
          <w:spacing w:val="30"/>
          <w:kern w:val="0"/>
          <w:sz w:val="21"/>
          <w:szCs w:val="21"/>
          <w:bdr w:val="none" w:color="auto" w:sz="0" w:space="0"/>
          <w:shd w:val="clear" w:fill="FFFFFF"/>
          <w:lang w:val="en-US" w:eastAsia="zh-CN" w:bidi="ar"/>
        </w:rPr>
        <w:t>     ⑫可实现多种以及同类多台设备上患者基本信息、诊疗记录和方案参数的实时同步；</w:t>
      </w:r>
    </w:p>
    <w:p w14:paraId="6AD1A8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⑬支持科室进行可远程治疗的服务配置、医生在线给患者开出治疗方案、在线查看患者的评估报告和治疗记录；智能推荐个性化的处方治疗方案，一键开启治疗； </w:t>
      </w:r>
    </w:p>
    <w:p w14:paraId="484402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⑭支持患者通过APP连接设备，遵医嘱进行居家自助治疗；居家自我评估，医生远程诊断；患者查看历史评估报告、查看治疗记录、远程咨询医生；</w:t>
      </w:r>
    </w:p>
    <w:p w14:paraId="6B325E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⑮支持医生随时远程协同管理患者和为患者远程制定个性化的治疗方案, 患者可远程居家治疗。</w:t>
      </w:r>
    </w:p>
    <w:p w14:paraId="58E070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5.患者端 APP</w:t>
      </w:r>
    </w:p>
    <w:p w14:paraId="200180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（1）系统兼容性：同时支持鸿蒙、安卓、ios 等主流移动端系统，确保不同设备的患者均能便捷使用。</w:t>
      </w:r>
    </w:p>
    <w:p w14:paraId="145C17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（2）核心功能：支持患者接收医生制定的治疗方案；可记录居家治疗过程（治疗时间、模式、参数等）；提供居家评估功能，支持查看历史评估报告、治疗记录；具备远程咨询医生功能（文字、语音咨询）。</w:t>
      </w:r>
    </w:p>
    <w:p w14:paraId="26AB79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6.医生端小程序：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0782A8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7.数据安全：服务商定期对信息平台功能、人员、机构、订单等进行设计开发迭代、日常维护与运营管理，需严格执行信息安全和医疗数据保密的有关法律法规，妥善保管患者信息，确保互联网信息技术平台信息安全。系统需具备数据加密存储功能，患者隐私信息（姓名、病历、治疗数据等）仅授权医生可查看，防止信息泄露；支持数据备份（本地备份 + 云端备份），确保数据不丢失。</w:t>
      </w:r>
    </w:p>
    <w:p w14:paraId="2A7C71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EFEFE"/>
        <w:spacing w:before="0" w:beforeAutospacing="0" w:after="0" w:afterAutospacing="0" w:line="315" w:lineRule="atLeast"/>
        <w:ind w:left="0" w:right="0" w:firstLine="0"/>
        <w:jc w:val="both"/>
        <w:rPr>
          <w:rFonts w:hint="eastAsia" w:ascii="Microsoft YaHei UI" w:hAnsi="Microsoft YaHei UI" w:eastAsia="Microsoft YaHei UI" w:cs="Microsoft YaHei UI"/>
          <w:i w:val="0"/>
          <w:iCs w:val="0"/>
          <w:caps w:val="0"/>
          <w:color w:val="323232"/>
          <w:spacing w:val="30"/>
          <w:sz w:val="24"/>
          <w:szCs w:val="24"/>
        </w:rPr>
      </w:pPr>
      <w:r>
        <w:rPr>
          <w:rFonts w:hint="eastAsia" w:ascii="微软雅黑" w:hAnsi="微软雅黑" w:eastAsia="微软雅黑" w:cs="微软雅黑"/>
          <w:i w:val="0"/>
          <w:iCs w:val="0"/>
          <w:caps w:val="0"/>
          <w:color w:val="323232"/>
          <w:spacing w:val="30"/>
          <w:sz w:val="21"/>
          <w:szCs w:val="21"/>
          <w:bdr w:val="none" w:color="auto" w:sz="0" w:space="0"/>
          <w:shd w:val="clear" w:fill="FEFEFE"/>
        </w:rPr>
        <w:t>    8.互联网+智慧医疗康复服务：以 “互联网 + 物联网” 为核心，围绕盆底功能障碍、术后恢复、产后子宫复旧、产后腹直肌分离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7042065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C23165"/>
    <w:rsid w:val="4DC231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2026-01-09T02:09:00Z</dcterms:created>
  <dc:creator>九九</dc:creator>
  <cp:lastModifiedBy>九九</cp:lastModifiedBy>
  <dcterms:modified xsi:type="dcterms:W3CDTF">2026-01-09T02:15:41Z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6A46F38B0666440EAAB8DBF997DFDE8D_11</vt:lpwstr>
  </property>
  <property fmtid="{D5CDD505-2E9C-101B-9397-08002B2CF9AE}" pid="4" name="KSOTemplateDocerSaveRecord">
    <vt:lpwstr>eyJoZGlkIjoiYTM5MTZmNjAyZjEyMzU3OGQ1MDEyNzM2NjEwYTgwOTkiLCJ1c2VySWQiOiIzMDI5Njc5NzYifQ==</vt:lpwstr>
  </property>
</Properties>
</file>