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0B391">
      <w:pPr>
        <w:spacing w:line="480" w:lineRule="exact"/>
        <w:jc w:val="center"/>
        <w:rPr>
          <w:rFonts w:hint="eastAsia" w:ascii="方正小标宋简体" w:hAnsi="宋体" w:eastAsia="方正小标宋简体" w:cs="宋体"/>
          <w:kern w:val="0"/>
          <w:sz w:val="36"/>
          <w:szCs w:val="36"/>
          <w:lang w:val="en-US" w:eastAsia="zh-CN"/>
        </w:rPr>
      </w:pPr>
      <w:r>
        <w:rPr>
          <w:rFonts w:hint="eastAsia" w:ascii="方正小标宋简体" w:hAnsi="宋体" w:eastAsia="方正小标宋简体" w:cs="宋体"/>
          <w:kern w:val="0"/>
          <w:sz w:val="36"/>
          <w:szCs w:val="36"/>
        </w:rPr>
        <w:t>盆底专科服务管理系统项目评分标准</w:t>
      </w:r>
      <w:r>
        <w:rPr>
          <w:rFonts w:hint="eastAsia" w:ascii="方正小标宋简体" w:hAnsi="宋体" w:eastAsia="方正小标宋简体" w:cs="宋体"/>
          <w:kern w:val="0"/>
          <w:sz w:val="36"/>
          <w:szCs w:val="36"/>
          <w:lang w:eastAsia="zh-CN"/>
        </w:rPr>
        <w:t>（</w:t>
      </w:r>
      <w:r>
        <w:rPr>
          <w:rFonts w:hint="eastAsia" w:ascii="方正小标宋简体" w:hAnsi="宋体" w:eastAsia="方正小标宋简体" w:cs="宋体"/>
          <w:kern w:val="0"/>
          <w:sz w:val="36"/>
          <w:szCs w:val="36"/>
          <w:lang w:val="en-US" w:eastAsia="zh-CN"/>
        </w:rPr>
        <w:t>XX20260062）</w:t>
      </w:r>
    </w:p>
    <w:tbl>
      <w:tblPr>
        <w:tblStyle w:val="8"/>
        <w:tblpPr w:leftFromText="180" w:rightFromText="180" w:vertAnchor="page" w:horzAnchor="page" w:tblpX="880" w:tblpY="1806"/>
        <w:tblOverlap w:val="never"/>
        <w:tblW w:w="10899"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906"/>
        <w:gridCol w:w="1145"/>
        <w:gridCol w:w="7223"/>
        <w:gridCol w:w="716"/>
        <w:gridCol w:w="909"/>
      </w:tblGrid>
      <w:tr w14:paraId="48CBC6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59" w:hRule="atLeast"/>
        </w:trPr>
        <w:tc>
          <w:tcPr>
            <w:tcW w:w="906" w:type="dxa"/>
            <w:vMerge w:val="restart"/>
          </w:tcPr>
          <w:p w14:paraId="3F02CE47">
            <w:pPr>
              <w:pStyle w:val="17"/>
              <w:jc w:val="center"/>
              <w:rPr>
                <w:b/>
                <w:bCs/>
                <w:sz w:val="24"/>
                <w:szCs w:val="24"/>
              </w:rPr>
            </w:pPr>
            <w:r>
              <w:rPr>
                <w:rStyle w:val="18"/>
                <w:rFonts w:hint="default"/>
                <w:b/>
                <w:bCs/>
                <w:sz w:val="24"/>
                <w:szCs w:val="24"/>
                <w:lang w:bidi="ar"/>
              </w:rPr>
              <w:t>评价项目</w:t>
            </w:r>
          </w:p>
        </w:tc>
        <w:tc>
          <w:tcPr>
            <w:tcW w:w="1145" w:type="dxa"/>
            <w:vMerge w:val="restart"/>
          </w:tcPr>
          <w:p w14:paraId="30356112">
            <w:pPr>
              <w:pStyle w:val="17"/>
              <w:jc w:val="center"/>
              <w:rPr>
                <w:rFonts w:hint="eastAsia" w:eastAsiaTheme="minorEastAsia"/>
                <w:b/>
                <w:bCs/>
                <w:sz w:val="24"/>
                <w:szCs w:val="24"/>
                <w:lang w:eastAsia="zh-CN"/>
              </w:rPr>
            </w:pPr>
            <w:r>
              <w:rPr>
                <w:rStyle w:val="18"/>
                <w:rFonts w:hint="eastAsia"/>
                <w:b/>
                <w:bCs/>
                <w:sz w:val="24"/>
                <w:szCs w:val="24"/>
                <w:lang w:eastAsia="zh-CN" w:bidi="ar"/>
              </w:rPr>
              <w:t>分值</w:t>
            </w:r>
          </w:p>
        </w:tc>
        <w:tc>
          <w:tcPr>
            <w:tcW w:w="7223" w:type="dxa"/>
            <w:vMerge w:val="restart"/>
          </w:tcPr>
          <w:p w14:paraId="6A43AAF6">
            <w:pPr>
              <w:pStyle w:val="17"/>
              <w:jc w:val="center"/>
              <w:rPr>
                <w:rFonts w:hint="eastAsia"/>
                <w:b/>
                <w:bCs/>
                <w:sz w:val="24"/>
                <w:szCs w:val="24"/>
              </w:rPr>
            </w:pPr>
            <w:r>
              <w:rPr>
                <w:rStyle w:val="18"/>
                <w:rFonts w:hint="default"/>
                <w:b/>
                <w:bCs/>
                <w:sz w:val="24"/>
                <w:szCs w:val="24"/>
                <w:lang w:bidi="ar"/>
              </w:rPr>
              <w:t>评价标准</w:t>
            </w:r>
          </w:p>
        </w:tc>
        <w:tc>
          <w:tcPr>
            <w:tcW w:w="1625" w:type="dxa"/>
            <w:gridSpan w:val="2"/>
            <w:shd w:val="clear" w:color="auto" w:fill="auto"/>
            <w:vAlign w:val="center"/>
          </w:tcPr>
          <w:p w14:paraId="6D1CF785">
            <w:pPr>
              <w:pStyle w:val="17"/>
              <w:jc w:val="center"/>
              <w:rPr>
                <w:rFonts w:hint="eastAsia"/>
                <w:b/>
                <w:bCs/>
                <w:sz w:val="15"/>
                <w:szCs w:val="15"/>
              </w:rPr>
            </w:pPr>
            <w:r>
              <w:rPr>
                <w:rFonts w:hint="eastAsia" w:ascii="宋体" w:hAnsi="宋体" w:cs="宋体"/>
                <w:b/>
                <w:bCs/>
                <w:color w:val="000000"/>
                <w:sz w:val="15"/>
                <w:szCs w:val="15"/>
              </w:rPr>
              <w:t>自评</w:t>
            </w:r>
            <w:r>
              <w:rPr>
                <w:rFonts w:hint="eastAsia" w:ascii="宋体" w:hAnsi="宋体" w:cs="宋体"/>
                <w:b/>
                <w:bCs/>
                <w:color w:val="000000"/>
                <w:sz w:val="15"/>
                <w:szCs w:val="15"/>
                <w:lang w:eastAsia="zh-CN"/>
              </w:rPr>
              <w:t>情况</w:t>
            </w:r>
          </w:p>
        </w:tc>
      </w:tr>
      <w:tr w14:paraId="5FBD42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703" w:hRule="atLeast"/>
        </w:trPr>
        <w:tc>
          <w:tcPr>
            <w:tcW w:w="906" w:type="dxa"/>
            <w:vMerge w:val="continue"/>
          </w:tcPr>
          <w:p w14:paraId="3B169DDC">
            <w:pPr>
              <w:pStyle w:val="17"/>
              <w:jc w:val="center"/>
              <w:rPr>
                <w:b/>
                <w:bCs/>
                <w:sz w:val="15"/>
                <w:szCs w:val="15"/>
              </w:rPr>
            </w:pPr>
          </w:p>
        </w:tc>
        <w:tc>
          <w:tcPr>
            <w:tcW w:w="1145" w:type="dxa"/>
            <w:vMerge w:val="continue"/>
          </w:tcPr>
          <w:p w14:paraId="2474E7CF">
            <w:pPr>
              <w:pStyle w:val="17"/>
              <w:jc w:val="center"/>
              <w:rPr>
                <w:rFonts w:hint="eastAsia" w:eastAsiaTheme="minorEastAsia"/>
                <w:b/>
                <w:bCs/>
                <w:sz w:val="15"/>
                <w:szCs w:val="15"/>
                <w:lang w:eastAsia="zh-CN"/>
              </w:rPr>
            </w:pPr>
          </w:p>
        </w:tc>
        <w:tc>
          <w:tcPr>
            <w:tcW w:w="7223" w:type="dxa"/>
            <w:vMerge w:val="continue"/>
          </w:tcPr>
          <w:p w14:paraId="3856382E">
            <w:pPr>
              <w:pStyle w:val="17"/>
              <w:jc w:val="center"/>
              <w:rPr>
                <w:rFonts w:hint="eastAsia"/>
                <w:b/>
                <w:bCs/>
                <w:sz w:val="15"/>
                <w:szCs w:val="15"/>
              </w:rPr>
            </w:pPr>
          </w:p>
        </w:tc>
        <w:tc>
          <w:tcPr>
            <w:tcW w:w="716" w:type="dxa"/>
            <w:shd w:val="clear" w:color="auto" w:fill="auto"/>
            <w:vAlign w:val="center"/>
          </w:tcPr>
          <w:p w14:paraId="3273DD7E">
            <w:pPr>
              <w:keepNext w:val="0"/>
              <w:keepLines w:val="0"/>
              <w:pageBreakBefore w:val="0"/>
              <w:widowControl/>
              <w:kinsoku/>
              <w:wordWrap/>
              <w:overflowPunct/>
              <w:topLinePunct w:val="0"/>
              <w:autoSpaceDE/>
              <w:autoSpaceDN/>
              <w:bidi w:val="0"/>
              <w:adjustRightInd/>
              <w:spacing w:line="240" w:lineRule="auto"/>
              <w:jc w:val="center"/>
              <w:textAlignment w:val="center"/>
              <w:rPr>
                <w:rFonts w:hint="eastAsia" w:ascii="宋体" w:hAnsi="宋体" w:eastAsia="宋体" w:cs="宋体"/>
                <w:b/>
                <w:bCs/>
                <w:color w:val="000000"/>
                <w:kern w:val="2"/>
                <w:sz w:val="15"/>
                <w:szCs w:val="15"/>
                <w:lang w:val="en-US" w:eastAsia="zh-CN" w:bidi="ar-SA"/>
              </w:rPr>
            </w:pPr>
            <w:r>
              <w:rPr>
                <w:rFonts w:hint="eastAsia" w:ascii="宋体" w:hAnsi="宋体" w:cs="宋体"/>
                <w:b/>
                <w:bCs/>
                <w:color w:val="000000"/>
                <w:sz w:val="15"/>
                <w:szCs w:val="15"/>
              </w:rPr>
              <w:t>自评分</w:t>
            </w:r>
          </w:p>
        </w:tc>
        <w:tc>
          <w:tcPr>
            <w:tcW w:w="909" w:type="dxa"/>
            <w:shd w:val="clear" w:color="auto" w:fill="auto"/>
            <w:vAlign w:val="center"/>
          </w:tcPr>
          <w:p w14:paraId="3505FC3B">
            <w:pPr>
              <w:keepNext w:val="0"/>
              <w:keepLines w:val="0"/>
              <w:pageBreakBefore w:val="0"/>
              <w:widowControl/>
              <w:kinsoku/>
              <w:wordWrap/>
              <w:overflowPunct/>
              <w:topLinePunct w:val="0"/>
              <w:autoSpaceDE/>
              <w:autoSpaceDN/>
              <w:bidi w:val="0"/>
              <w:adjustRightInd/>
              <w:spacing w:line="240" w:lineRule="auto"/>
              <w:jc w:val="center"/>
              <w:textAlignment w:val="center"/>
              <w:rPr>
                <w:rFonts w:hint="eastAsia" w:ascii="宋体" w:hAnsi="宋体" w:eastAsia="宋体" w:cs="宋体"/>
                <w:b/>
                <w:bCs/>
                <w:color w:val="000000"/>
                <w:kern w:val="2"/>
                <w:sz w:val="15"/>
                <w:szCs w:val="15"/>
                <w:lang w:val="en-US" w:eastAsia="zh-CN" w:bidi="ar-SA"/>
              </w:rPr>
            </w:pPr>
            <w:r>
              <w:rPr>
                <w:rFonts w:hint="eastAsia" w:ascii="宋体" w:hAnsi="宋体" w:cs="宋体"/>
                <w:b/>
                <w:bCs/>
                <w:color w:val="000000"/>
                <w:sz w:val="15"/>
                <w:szCs w:val="15"/>
              </w:rPr>
              <w:t>佐证材料对应页码</w:t>
            </w:r>
          </w:p>
        </w:tc>
      </w:tr>
      <w:tr w14:paraId="301E51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793" w:hRule="atLeast"/>
        </w:trPr>
        <w:tc>
          <w:tcPr>
            <w:tcW w:w="906" w:type="dxa"/>
            <w:vMerge w:val="restart"/>
          </w:tcPr>
          <w:p w14:paraId="1FDFA7BB">
            <w:pPr>
              <w:pStyle w:val="17"/>
              <w:jc w:val="center"/>
              <w:rPr>
                <w:sz w:val="18"/>
                <w:szCs w:val="18"/>
              </w:rPr>
            </w:pPr>
            <w:r>
              <w:rPr>
                <w:sz w:val="18"/>
                <w:szCs w:val="18"/>
              </w:rPr>
              <w:t>技术部分 (</w:t>
            </w:r>
            <w:r>
              <w:rPr>
                <w:rFonts w:hint="eastAsia"/>
                <w:sz w:val="18"/>
                <w:szCs w:val="18"/>
                <w:lang w:val="en-US" w:eastAsia="zh-CN"/>
              </w:rPr>
              <w:t>6</w:t>
            </w:r>
            <w:r>
              <w:rPr>
                <w:sz w:val="18"/>
                <w:szCs w:val="18"/>
              </w:rPr>
              <w:t>0.0分)</w:t>
            </w:r>
          </w:p>
        </w:tc>
        <w:tc>
          <w:tcPr>
            <w:tcW w:w="1145" w:type="dxa"/>
          </w:tcPr>
          <w:p w14:paraId="72454567">
            <w:pPr>
              <w:pStyle w:val="17"/>
              <w:jc w:val="left"/>
              <w:rPr>
                <w:sz w:val="18"/>
                <w:szCs w:val="18"/>
              </w:rPr>
            </w:pPr>
            <w:r>
              <w:rPr>
                <w:sz w:val="18"/>
                <w:szCs w:val="18"/>
              </w:rPr>
              <w:t>标识▲符号的主要技术要求 (40.0分)</w:t>
            </w:r>
          </w:p>
        </w:tc>
        <w:tc>
          <w:tcPr>
            <w:tcW w:w="7223" w:type="dxa"/>
          </w:tcPr>
          <w:p w14:paraId="3558076A">
            <w:pPr>
              <w:pStyle w:val="17"/>
              <w:jc w:val="left"/>
              <w:rPr>
                <w:sz w:val="18"/>
                <w:szCs w:val="18"/>
              </w:rPr>
            </w:pPr>
            <w:r>
              <w:rPr>
                <w:sz w:val="18"/>
                <w:szCs w:val="18"/>
              </w:rPr>
              <w:t>所投产品是来源渠道正当，产品合格的原装设备，评标委员会根据招标文件《技术和服务要求响应表》对所有合格投标人所投产品已标▲符号的技术要求进行评审，全部满足得满分40分，已标▲符号指标有一项不满足或负偏离的每项扣0.5分，直至本项分数扣完为止。（招标文件若要求提供证明材料,投标文件需按▲符号的技术要求提供有效的证明材料来予以佐证主要技术符合招标要求，不能提供证明材</w:t>
            </w:r>
            <w:bookmarkStart w:id="0" w:name="_GoBack"/>
            <w:bookmarkEnd w:id="0"/>
            <w:r>
              <w:rPr>
                <w:sz w:val="18"/>
                <w:szCs w:val="18"/>
              </w:rPr>
              <w:t>料的视为不满足。）</w:t>
            </w:r>
          </w:p>
        </w:tc>
        <w:tc>
          <w:tcPr>
            <w:tcW w:w="716" w:type="dxa"/>
          </w:tcPr>
          <w:p w14:paraId="06EEFE8D">
            <w:pPr>
              <w:pStyle w:val="17"/>
              <w:jc w:val="left"/>
              <w:rPr>
                <w:sz w:val="18"/>
                <w:szCs w:val="18"/>
              </w:rPr>
            </w:pPr>
          </w:p>
        </w:tc>
        <w:tc>
          <w:tcPr>
            <w:tcW w:w="909" w:type="dxa"/>
          </w:tcPr>
          <w:p w14:paraId="7E9DC290">
            <w:pPr>
              <w:pStyle w:val="17"/>
              <w:jc w:val="left"/>
              <w:rPr>
                <w:sz w:val="18"/>
                <w:szCs w:val="18"/>
              </w:rPr>
            </w:pPr>
          </w:p>
        </w:tc>
      </w:tr>
      <w:tr w14:paraId="7E6BC2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812" w:hRule="atLeast"/>
        </w:trPr>
        <w:tc>
          <w:tcPr>
            <w:tcW w:w="906" w:type="dxa"/>
            <w:vMerge w:val="continue"/>
          </w:tcPr>
          <w:p w14:paraId="26982055">
            <w:pPr>
              <w:rPr>
                <w:sz w:val="18"/>
                <w:szCs w:val="18"/>
              </w:rPr>
            </w:pPr>
          </w:p>
        </w:tc>
        <w:tc>
          <w:tcPr>
            <w:tcW w:w="1145" w:type="dxa"/>
          </w:tcPr>
          <w:p w14:paraId="72474947">
            <w:pPr>
              <w:pStyle w:val="17"/>
              <w:jc w:val="left"/>
              <w:rPr>
                <w:sz w:val="18"/>
                <w:szCs w:val="18"/>
              </w:rPr>
            </w:pPr>
            <w:r>
              <w:rPr>
                <w:sz w:val="18"/>
                <w:szCs w:val="18"/>
              </w:rPr>
              <w:t>建设方案 (8.0分)</w:t>
            </w:r>
          </w:p>
        </w:tc>
        <w:tc>
          <w:tcPr>
            <w:tcW w:w="7223" w:type="dxa"/>
          </w:tcPr>
          <w:p w14:paraId="223818DB">
            <w:pPr>
              <w:pStyle w:val="17"/>
              <w:jc w:val="left"/>
              <w:rPr>
                <w:sz w:val="18"/>
                <w:szCs w:val="18"/>
              </w:rPr>
            </w:pPr>
            <w:r>
              <w:rPr>
                <w:sz w:val="18"/>
                <w:szCs w:val="18"/>
              </w:rPr>
              <w:t>投标人提供项目建设方案，方案内容包括不限于：项目现状、需求分析、建设原则、总体架构、建设方案、对一般技术参数的响应情况等进行评审： (1)方案内容详细、科学合理，完全满足或优于本项目各项需求的，得8分； (2)方案内容较详细、较科学合理，较满足本项目各项需求的，得5分； (3)方案内容一般详细、一般科学合理，不满足本项目各项需求的，得2分； (4)方案内容不满足本项目各项需求的或无提供不得分。</w:t>
            </w:r>
          </w:p>
        </w:tc>
        <w:tc>
          <w:tcPr>
            <w:tcW w:w="716" w:type="dxa"/>
          </w:tcPr>
          <w:p w14:paraId="673A2575">
            <w:pPr>
              <w:pStyle w:val="17"/>
              <w:jc w:val="left"/>
              <w:rPr>
                <w:sz w:val="18"/>
                <w:szCs w:val="18"/>
              </w:rPr>
            </w:pPr>
          </w:p>
        </w:tc>
        <w:tc>
          <w:tcPr>
            <w:tcW w:w="909" w:type="dxa"/>
          </w:tcPr>
          <w:p w14:paraId="4DBB9EAD">
            <w:pPr>
              <w:pStyle w:val="17"/>
              <w:jc w:val="left"/>
              <w:rPr>
                <w:sz w:val="18"/>
                <w:szCs w:val="18"/>
              </w:rPr>
            </w:pPr>
          </w:p>
        </w:tc>
      </w:tr>
      <w:tr w14:paraId="0B8F76F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735" w:hRule="atLeast"/>
        </w:trPr>
        <w:tc>
          <w:tcPr>
            <w:tcW w:w="906" w:type="dxa"/>
            <w:vMerge w:val="continue"/>
          </w:tcPr>
          <w:p w14:paraId="5FFFF805">
            <w:pPr>
              <w:rPr>
                <w:sz w:val="18"/>
                <w:szCs w:val="18"/>
              </w:rPr>
            </w:pPr>
          </w:p>
        </w:tc>
        <w:tc>
          <w:tcPr>
            <w:tcW w:w="1145" w:type="dxa"/>
          </w:tcPr>
          <w:p w14:paraId="37BF4323">
            <w:pPr>
              <w:pStyle w:val="17"/>
              <w:jc w:val="left"/>
              <w:rPr>
                <w:sz w:val="18"/>
                <w:szCs w:val="18"/>
              </w:rPr>
            </w:pPr>
            <w:r>
              <w:rPr>
                <w:sz w:val="18"/>
                <w:szCs w:val="18"/>
              </w:rPr>
              <w:t>实施组织方案 (6.0分)</w:t>
            </w:r>
          </w:p>
        </w:tc>
        <w:tc>
          <w:tcPr>
            <w:tcW w:w="7223" w:type="dxa"/>
          </w:tcPr>
          <w:p w14:paraId="578879BC">
            <w:pPr>
              <w:pStyle w:val="17"/>
              <w:jc w:val="left"/>
              <w:rPr>
                <w:sz w:val="18"/>
                <w:szCs w:val="18"/>
              </w:rPr>
            </w:pPr>
            <w:r>
              <w:rPr>
                <w:sz w:val="18"/>
                <w:szCs w:val="18"/>
              </w:rPr>
              <w:t>投标人提供项目实施组织方案，方案内容包括不限于：进度计划安排、质量保障措施、工期保障措施、组织安排计划、实施方案等进行评审： (1)方案内容详细、科学合理，完全满足或优于本项目各项需求的，得6分； (2)方案内容较详细、较科学合理，较满足本项目各项需求的，得3分； (3)方案内容一般详细、一般科学合理，不满足本项目各项需求的，得1分； (4)方案内容不满足本项目各项需求的或无提供不得分。</w:t>
            </w:r>
          </w:p>
        </w:tc>
        <w:tc>
          <w:tcPr>
            <w:tcW w:w="716" w:type="dxa"/>
          </w:tcPr>
          <w:p w14:paraId="64C1FC83">
            <w:pPr>
              <w:pStyle w:val="17"/>
              <w:jc w:val="left"/>
              <w:rPr>
                <w:sz w:val="18"/>
                <w:szCs w:val="18"/>
              </w:rPr>
            </w:pPr>
          </w:p>
        </w:tc>
        <w:tc>
          <w:tcPr>
            <w:tcW w:w="909" w:type="dxa"/>
          </w:tcPr>
          <w:p w14:paraId="10DA0437">
            <w:pPr>
              <w:pStyle w:val="17"/>
              <w:jc w:val="left"/>
              <w:rPr>
                <w:sz w:val="18"/>
                <w:szCs w:val="18"/>
              </w:rPr>
            </w:pPr>
          </w:p>
        </w:tc>
      </w:tr>
      <w:tr w14:paraId="416F5D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735" w:hRule="atLeast"/>
        </w:trPr>
        <w:tc>
          <w:tcPr>
            <w:tcW w:w="906" w:type="dxa"/>
            <w:vMerge w:val="continue"/>
          </w:tcPr>
          <w:p w14:paraId="36FB6AC9">
            <w:pPr>
              <w:rPr>
                <w:sz w:val="18"/>
                <w:szCs w:val="18"/>
              </w:rPr>
            </w:pPr>
          </w:p>
        </w:tc>
        <w:tc>
          <w:tcPr>
            <w:tcW w:w="1145" w:type="dxa"/>
          </w:tcPr>
          <w:p w14:paraId="500E18EC">
            <w:pPr>
              <w:pStyle w:val="17"/>
              <w:jc w:val="left"/>
              <w:rPr>
                <w:sz w:val="18"/>
                <w:szCs w:val="18"/>
              </w:rPr>
            </w:pPr>
            <w:r>
              <w:rPr>
                <w:sz w:val="18"/>
                <w:szCs w:val="18"/>
              </w:rPr>
              <w:t>售后服务方案 (6.0分)</w:t>
            </w:r>
          </w:p>
        </w:tc>
        <w:tc>
          <w:tcPr>
            <w:tcW w:w="7223" w:type="dxa"/>
          </w:tcPr>
          <w:p w14:paraId="0E8DF478">
            <w:pPr>
              <w:pStyle w:val="17"/>
              <w:jc w:val="left"/>
              <w:rPr>
                <w:sz w:val="18"/>
                <w:szCs w:val="18"/>
              </w:rPr>
            </w:pPr>
            <w:r>
              <w:rPr>
                <w:sz w:val="18"/>
                <w:szCs w:val="18"/>
              </w:rPr>
              <w:t>投标人提供项目售后服务方案，方案内容包括不限于：售后服务承诺函、软件技术服务支持、故障处理、技能培训、个性化需求的响应、服务便利性等进行评审： (1)方案内容详细、科学合理，完全满足或优于本项目各项需求的，得6分； (2)方案内容较详细、较科学合理，较满足本项目各项需求的，得3分； (3)方案内容一般详细、一般科学合理，不满足本项目各项需求的，得1分； (4)方案内容不满足本项目各项需求的或无提供不得分。</w:t>
            </w:r>
          </w:p>
        </w:tc>
        <w:tc>
          <w:tcPr>
            <w:tcW w:w="716" w:type="dxa"/>
          </w:tcPr>
          <w:p w14:paraId="401FDA72">
            <w:pPr>
              <w:pStyle w:val="17"/>
              <w:jc w:val="left"/>
              <w:rPr>
                <w:sz w:val="18"/>
                <w:szCs w:val="18"/>
              </w:rPr>
            </w:pPr>
          </w:p>
        </w:tc>
        <w:tc>
          <w:tcPr>
            <w:tcW w:w="909" w:type="dxa"/>
          </w:tcPr>
          <w:p w14:paraId="70EF6E05">
            <w:pPr>
              <w:pStyle w:val="17"/>
              <w:jc w:val="left"/>
              <w:rPr>
                <w:sz w:val="18"/>
                <w:szCs w:val="18"/>
              </w:rPr>
            </w:pPr>
          </w:p>
        </w:tc>
      </w:tr>
      <w:tr w14:paraId="04D269F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390" w:hRule="atLeast"/>
        </w:trPr>
        <w:tc>
          <w:tcPr>
            <w:tcW w:w="906" w:type="dxa"/>
            <w:vMerge w:val="restart"/>
          </w:tcPr>
          <w:p w14:paraId="3D518AFF">
            <w:pPr>
              <w:pStyle w:val="17"/>
              <w:jc w:val="center"/>
              <w:rPr>
                <w:sz w:val="18"/>
                <w:szCs w:val="18"/>
                <w:highlight w:val="none"/>
              </w:rPr>
            </w:pPr>
            <w:r>
              <w:rPr>
                <w:sz w:val="18"/>
                <w:szCs w:val="18"/>
                <w:highlight w:val="none"/>
              </w:rPr>
              <w:t>商务部分</w:t>
            </w:r>
          </w:p>
        </w:tc>
        <w:tc>
          <w:tcPr>
            <w:tcW w:w="1145" w:type="dxa"/>
          </w:tcPr>
          <w:p w14:paraId="11741B98">
            <w:pPr>
              <w:pStyle w:val="17"/>
              <w:jc w:val="left"/>
              <w:rPr>
                <w:sz w:val="18"/>
                <w:szCs w:val="18"/>
                <w:highlight w:val="none"/>
              </w:rPr>
            </w:pPr>
            <w:r>
              <w:rPr>
                <w:rFonts w:hint="eastAsia"/>
                <w:sz w:val="18"/>
                <w:szCs w:val="18"/>
                <w:highlight w:val="none"/>
                <w:lang w:val="en-US" w:eastAsia="zh-CN"/>
              </w:rPr>
              <w:t>软件著作权</w:t>
            </w:r>
            <w:r>
              <w:rPr>
                <w:sz w:val="18"/>
                <w:szCs w:val="18"/>
                <w:highlight w:val="none"/>
              </w:rPr>
              <w:t xml:space="preserve"> (</w:t>
            </w:r>
            <w:r>
              <w:rPr>
                <w:rFonts w:hint="eastAsia"/>
                <w:sz w:val="18"/>
                <w:szCs w:val="18"/>
                <w:highlight w:val="none"/>
                <w:lang w:val="en-US" w:eastAsia="zh-CN"/>
              </w:rPr>
              <w:t>2</w:t>
            </w:r>
            <w:r>
              <w:rPr>
                <w:sz w:val="18"/>
                <w:szCs w:val="18"/>
                <w:highlight w:val="none"/>
              </w:rPr>
              <w:t>.0分)</w:t>
            </w:r>
          </w:p>
        </w:tc>
        <w:tc>
          <w:tcPr>
            <w:tcW w:w="7223" w:type="dxa"/>
          </w:tcPr>
          <w:p w14:paraId="3BB622C6">
            <w:pPr>
              <w:pStyle w:val="17"/>
              <w:jc w:val="left"/>
              <w:rPr>
                <w:rFonts w:hint="eastAsia"/>
                <w:sz w:val="18"/>
                <w:szCs w:val="18"/>
                <w:highlight w:val="none"/>
              </w:rPr>
            </w:pPr>
            <w:r>
              <w:rPr>
                <w:rFonts w:hint="eastAsia"/>
                <w:sz w:val="18"/>
                <w:szCs w:val="18"/>
                <w:highlight w:val="none"/>
              </w:rPr>
              <w:t>具有本次招标内容“盆底专科管理”类相关</w:t>
            </w:r>
            <w:r>
              <w:rPr>
                <w:rFonts w:hint="eastAsia"/>
                <w:sz w:val="18"/>
                <w:szCs w:val="18"/>
                <w:highlight w:val="none"/>
                <w:lang w:val="en-US" w:eastAsia="zh-CN"/>
              </w:rPr>
              <w:t>或软件系统相关</w:t>
            </w:r>
            <w:r>
              <w:rPr>
                <w:rFonts w:hint="eastAsia"/>
                <w:sz w:val="18"/>
                <w:szCs w:val="18"/>
                <w:highlight w:val="none"/>
              </w:rPr>
              <w:t>的《软件著作权证书》，每提供一份得1分，最高得</w:t>
            </w:r>
            <w:r>
              <w:rPr>
                <w:rFonts w:hint="eastAsia"/>
                <w:sz w:val="18"/>
                <w:szCs w:val="18"/>
                <w:highlight w:val="none"/>
                <w:lang w:val="en-US" w:eastAsia="zh-CN"/>
              </w:rPr>
              <w:t>2</w:t>
            </w:r>
            <w:r>
              <w:rPr>
                <w:rFonts w:hint="eastAsia"/>
                <w:sz w:val="18"/>
                <w:szCs w:val="18"/>
                <w:highlight w:val="none"/>
              </w:rPr>
              <w:t>分，不提供的不得分。</w:t>
            </w:r>
          </w:p>
          <w:p w14:paraId="232AE0DA">
            <w:pPr>
              <w:pStyle w:val="17"/>
              <w:jc w:val="left"/>
              <w:rPr>
                <w:sz w:val="18"/>
                <w:szCs w:val="18"/>
                <w:highlight w:val="none"/>
              </w:rPr>
            </w:pPr>
            <w:r>
              <w:rPr>
                <w:rFonts w:hint="eastAsia"/>
                <w:sz w:val="18"/>
                <w:szCs w:val="18"/>
                <w:highlight w:val="none"/>
              </w:rPr>
              <w:t>注：版权所有人必须与供应商名称完全相符，提供证书复印件并加盖公司公章，且证书取得时间不得迟于招标公告发出时间，否则不得分。</w:t>
            </w:r>
          </w:p>
        </w:tc>
        <w:tc>
          <w:tcPr>
            <w:tcW w:w="716" w:type="dxa"/>
          </w:tcPr>
          <w:p w14:paraId="0B249F19">
            <w:pPr>
              <w:pStyle w:val="17"/>
              <w:jc w:val="left"/>
              <w:rPr>
                <w:rFonts w:hint="eastAsia"/>
                <w:sz w:val="18"/>
                <w:szCs w:val="18"/>
                <w:highlight w:val="none"/>
              </w:rPr>
            </w:pPr>
          </w:p>
        </w:tc>
        <w:tc>
          <w:tcPr>
            <w:tcW w:w="909" w:type="dxa"/>
          </w:tcPr>
          <w:p w14:paraId="1A90F567">
            <w:pPr>
              <w:pStyle w:val="17"/>
              <w:jc w:val="left"/>
              <w:rPr>
                <w:rFonts w:hint="eastAsia"/>
                <w:sz w:val="18"/>
                <w:szCs w:val="18"/>
                <w:highlight w:val="none"/>
              </w:rPr>
            </w:pPr>
          </w:p>
        </w:tc>
      </w:tr>
      <w:tr w14:paraId="4C0CD4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390" w:hRule="atLeast"/>
        </w:trPr>
        <w:tc>
          <w:tcPr>
            <w:tcW w:w="906" w:type="dxa"/>
            <w:vMerge w:val="continue"/>
          </w:tcPr>
          <w:p w14:paraId="3A207FD9">
            <w:pPr>
              <w:rPr>
                <w:sz w:val="18"/>
                <w:szCs w:val="18"/>
                <w:highlight w:val="none"/>
              </w:rPr>
            </w:pPr>
          </w:p>
        </w:tc>
        <w:tc>
          <w:tcPr>
            <w:tcW w:w="1145" w:type="dxa"/>
          </w:tcPr>
          <w:p w14:paraId="1475369B">
            <w:pPr>
              <w:pStyle w:val="17"/>
              <w:jc w:val="left"/>
              <w:rPr>
                <w:sz w:val="18"/>
                <w:szCs w:val="18"/>
                <w:highlight w:val="none"/>
              </w:rPr>
            </w:pPr>
            <w:r>
              <w:rPr>
                <w:sz w:val="18"/>
                <w:szCs w:val="18"/>
                <w:highlight w:val="none"/>
              </w:rPr>
              <w:t>项目</w:t>
            </w:r>
            <w:r>
              <w:rPr>
                <w:rFonts w:hint="eastAsia"/>
                <w:sz w:val="18"/>
                <w:szCs w:val="18"/>
                <w:highlight w:val="none"/>
                <w:lang w:val="en-US" w:eastAsia="zh-CN"/>
              </w:rPr>
              <w:t>系统安全</w:t>
            </w:r>
            <w:r>
              <w:rPr>
                <w:sz w:val="18"/>
                <w:szCs w:val="18"/>
                <w:highlight w:val="none"/>
              </w:rPr>
              <w:t>(</w:t>
            </w:r>
            <w:r>
              <w:rPr>
                <w:rFonts w:hint="eastAsia"/>
                <w:sz w:val="18"/>
                <w:szCs w:val="18"/>
                <w:highlight w:val="none"/>
                <w:lang w:val="en-US" w:eastAsia="zh-CN"/>
              </w:rPr>
              <w:t>2</w:t>
            </w:r>
            <w:r>
              <w:rPr>
                <w:sz w:val="18"/>
                <w:szCs w:val="18"/>
                <w:highlight w:val="none"/>
              </w:rPr>
              <w:t>.0分)</w:t>
            </w:r>
          </w:p>
        </w:tc>
        <w:tc>
          <w:tcPr>
            <w:tcW w:w="7223" w:type="dxa"/>
          </w:tcPr>
          <w:p w14:paraId="3600C052">
            <w:pPr>
              <w:pStyle w:val="17"/>
              <w:jc w:val="left"/>
              <w:rPr>
                <w:rFonts w:hint="eastAsia"/>
                <w:sz w:val="18"/>
                <w:szCs w:val="18"/>
                <w:highlight w:val="none"/>
              </w:rPr>
            </w:pPr>
            <w:r>
              <w:rPr>
                <w:rFonts w:hint="eastAsia"/>
                <w:sz w:val="18"/>
                <w:szCs w:val="18"/>
                <w:highlight w:val="none"/>
              </w:rPr>
              <w:t>供应商所投“盆底专科管理”系统需符合信息技术应用创新要求，提供《信息技术应用创新符合性测试证书》证明得</w:t>
            </w:r>
            <w:r>
              <w:rPr>
                <w:rFonts w:hint="eastAsia"/>
                <w:sz w:val="18"/>
                <w:szCs w:val="18"/>
                <w:highlight w:val="none"/>
                <w:lang w:val="en-US" w:eastAsia="zh-CN"/>
              </w:rPr>
              <w:t>2</w:t>
            </w:r>
            <w:r>
              <w:rPr>
                <w:rFonts w:hint="eastAsia"/>
                <w:sz w:val="18"/>
                <w:szCs w:val="18"/>
                <w:highlight w:val="none"/>
              </w:rPr>
              <w:t>分，不提供的不得分。</w:t>
            </w:r>
          </w:p>
          <w:p w14:paraId="61401A74">
            <w:pPr>
              <w:pStyle w:val="17"/>
              <w:jc w:val="left"/>
              <w:rPr>
                <w:sz w:val="18"/>
                <w:szCs w:val="18"/>
                <w:highlight w:val="none"/>
              </w:rPr>
            </w:pPr>
            <w:r>
              <w:rPr>
                <w:rFonts w:hint="eastAsia"/>
                <w:sz w:val="18"/>
                <w:szCs w:val="18"/>
                <w:highlight w:val="none"/>
              </w:rPr>
              <w:t>注：提供证书复印件（原件备查），且证书取得时间不得迟于招标公告发出时间，否则不得分。</w:t>
            </w:r>
          </w:p>
        </w:tc>
        <w:tc>
          <w:tcPr>
            <w:tcW w:w="716" w:type="dxa"/>
          </w:tcPr>
          <w:p w14:paraId="03B7F53D">
            <w:pPr>
              <w:pStyle w:val="17"/>
              <w:jc w:val="left"/>
              <w:rPr>
                <w:rFonts w:hint="eastAsia"/>
                <w:sz w:val="18"/>
                <w:szCs w:val="18"/>
                <w:highlight w:val="none"/>
              </w:rPr>
            </w:pPr>
          </w:p>
        </w:tc>
        <w:tc>
          <w:tcPr>
            <w:tcW w:w="909" w:type="dxa"/>
          </w:tcPr>
          <w:p w14:paraId="7EFECFE1">
            <w:pPr>
              <w:pStyle w:val="17"/>
              <w:jc w:val="left"/>
              <w:rPr>
                <w:rFonts w:hint="eastAsia"/>
                <w:sz w:val="18"/>
                <w:szCs w:val="18"/>
                <w:highlight w:val="none"/>
              </w:rPr>
            </w:pPr>
          </w:p>
        </w:tc>
      </w:tr>
      <w:tr w14:paraId="3893FD0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735" w:hRule="atLeast"/>
        </w:trPr>
        <w:tc>
          <w:tcPr>
            <w:tcW w:w="906" w:type="dxa"/>
            <w:vMerge w:val="continue"/>
          </w:tcPr>
          <w:p w14:paraId="795BD94F">
            <w:pPr>
              <w:rPr>
                <w:sz w:val="18"/>
                <w:szCs w:val="18"/>
                <w:highlight w:val="none"/>
              </w:rPr>
            </w:pPr>
          </w:p>
        </w:tc>
        <w:tc>
          <w:tcPr>
            <w:tcW w:w="1145" w:type="dxa"/>
          </w:tcPr>
          <w:p w14:paraId="64DBE7FE">
            <w:pPr>
              <w:pStyle w:val="17"/>
              <w:jc w:val="left"/>
              <w:rPr>
                <w:sz w:val="18"/>
                <w:szCs w:val="18"/>
                <w:highlight w:val="none"/>
              </w:rPr>
            </w:pPr>
            <w:r>
              <w:rPr>
                <w:sz w:val="18"/>
                <w:szCs w:val="18"/>
                <w:highlight w:val="none"/>
              </w:rPr>
              <w:t>同类项目业绩 (</w:t>
            </w:r>
            <w:r>
              <w:rPr>
                <w:rFonts w:hint="eastAsia"/>
                <w:sz w:val="18"/>
                <w:szCs w:val="18"/>
                <w:highlight w:val="none"/>
                <w:lang w:val="en-US" w:eastAsia="zh-CN"/>
              </w:rPr>
              <w:t>6</w:t>
            </w:r>
            <w:r>
              <w:rPr>
                <w:sz w:val="18"/>
                <w:szCs w:val="18"/>
                <w:highlight w:val="none"/>
              </w:rPr>
              <w:t>.0分)</w:t>
            </w:r>
          </w:p>
        </w:tc>
        <w:tc>
          <w:tcPr>
            <w:tcW w:w="7223" w:type="dxa"/>
          </w:tcPr>
          <w:p w14:paraId="11D0CCB5">
            <w:pPr>
              <w:pStyle w:val="17"/>
              <w:jc w:val="left"/>
              <w:rPr>
                <w:sz w:val="18"/>
                <w:szCs w:val="18"/>
                <w:highlight w:val="none"/>
              </w:rPr>
            </w:pPr>
            <w:r>
              <w:rPr>
                <w:sz w:val="18"/>
                <w:szCs w:val="18"/>
                <w:highlight w:val="none"/>
              </w:rPr>
              <w:t>根据投标人提供2022年1月1日(以合同签订时间为准)至今同类项目业绩进行评分，每提供一项同类项目业绩得2分，本项最高得6分。 注：须提供合同关键页（含签订合同双方的单位名称、合同项目名称、签订合同双方的落款盖章、签订日期等关键页）证明材料复印件加盖公章，时间以合同签订时间为准，提供不全者为无效业绩不计分，未提供者不得分。</w:t>
            </w:r>
          </w:p>
        </w:tc>
        <w:tc>
          <w:tcPr>
            <w:tcW w:w="716" w:type="dxa"/>
          </w:tcPr>
          <w:p w14:paraId="405D1F3F">
            <w:pPr>
              <w:pStyle w:val="17"/>
              <w:jc w:val="left"/>
              <w:rPr>
                <w:sz w:val="18"/>
                <w:szCs w:val="18"/>
                <w:highlight w:val="none"/>
              </w:rPr>
            </w:pPr>
          </w:p>
        </w:tc>
        <w:tc>
          <w:tcPr>
            <w:tcW w:w="909" w:type="dxa"/>
          </w:tcPr>
          <w:p w14:paraId="475CD07A">
            <w:pPr>
              <w:pStyle w:val="17"/>
              <w:jc w:val="left"/>
              <w:rPr>
                <w:sz w:val="18"/>
                <w:szCs w:val="18"/>
                <w:highlight w:val="none"/>
              </w:rPr>
            </w:pPr>
          </w:p>
        </w:tc>
      </w:tr>
      <w:tr w14:paraId="6C7F06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047" w:hRule="atLeast"/>
        </w:trPr>
        <w:tc>
          <w:tcPr>
            <w:tcW w:w="906" w:type="dxa"/>
          </w:tcPr>
          <w:p w14:paraId="2048A2F4">
            <w:pPr>
              <w:pStyle w:val="17"/>
              <w:jc w:val="center"/>
              <w:rPr>
                <w:rFonts w:hint="eastAsia" w:eastAsiaTheme="minorEastAsia"/>
                <w:sz w:val="18"/>
                <w:szCs w:val="18"/>
                <w:lang w:eastAsia="zh-CN"/>
              </w:rPr>
            </w:pPr>
            <w:r>
              <w:rPr>
                <w:sz w:val="18"/>
                <w:szCs w:val="18"/>
              </w:rPr>
              <w:t>投标</w:t>
            </w:r>
            <w:r>
              <w:rPr>
                <w:rFonts w:hint="eastAsia"/>
                <w:sz w:val="18"/>
                <w:szCs w:val="18"/>
                <w:lang w:val="en-US" w:eastAsia="zh-CN"/>
              </w:rPr>
              <w:t>价格</w:t>
            </w:r>
          </w:p>
        </w:tc>
        <w:tc>
          <w:tcPr>
            <w:tcW w:w="1145" w:type="dxa"/>
          </w:tcPr>
          <w:p w14:paraId="7BA0DB83">
            <w:pPr>
              <w:pStyle w:val="17"/>
              <w:jc w:val="left"/>
              <w:rPr>
                <w:sz w:val="18"/>
                <w:szCs w:val="18"/>
              </w:rPr>
            </w:pPr>
            <w:r>
              <w:rPr>
                <w:sz w:val="18"/>
                <w:szCs w:val="18"/>
              </w:rPr>
              <w:t>投标</w:t>
            </w:r>
            <w:r>
              <w:rPr>
                <w:rFonts w:hint="eastAsia"/>
                <w:sz w:val="18"/>
                <w:szCs w:val="18"/>
                <w:lang w:val="en-US" w:eastAsia="zh-CN"/>
              </w:rPr>
              <w:t>价格</w:t>
            </w:r>
            <w:r>
              <w:rPr>
                <w:sz w:val="18"/>
                <w:szCs w:val="18"/>
              </w:rPr>
              <w:t>得分 (</w:t>
            </w:r>
            <w:r>
              <w:rPr>
                <w:rFonts w:hint="eastAsia"/>
                <w:sz w:val="18"/>
                <w:szCs w:val="18"/>
                <w:lang w:val="en-US" w:eastAsia="zh-CN"/>
              </w:rPr>
              <w:t>30</w:t>
            </w:r>
            <w:r>
              <w:rPr>
                <w:sz w:val="18"/>
                <w:szCs w:val="18"/>
              </w:rPr>
              <w:t>.0分)</w:t>
            </w:r>
          </w:p>
        </w:tc>
        <w:tc>
          <w:tcPr>
            <w:tcW w:w="7223" w:type="dxa"/>
          </w:tcPr>
          <w:p w14:paraId="0BF314D1">
            <w:pPr>
              <w:pStyle w:val="17"/>
              <w:jc w:val="left"/>
              <w:rPr>
                <w:sz w:val="18"/>
                <w:szCs w:val="18"/>
              </w:rPr>
            </w:pPr>
            <w:r>
              <w:rPr>
                <w:sz w:val="18"/>
                <w:szCs w:val="18"/>
              </w:rPr>
              <w:t>投标报价得分＝（评标基准价/投标报价）×价格分值【注：满足招标文件要求且投标价格最低的投标报价为评标基准价。】最低报价不是中标的唯一依据。因落实政府采购政策进行价格调整的，以调整后的价格计算评标基准价和投标报价。</w:t>
            </w:r>
          </w:p>
        </w:tc>
        <w:tc>
          <w:tcPr>
            <w:tcW w:w="716" w:type="dxa"/>
          </w:tcPr>
          <w:p w14:paraId="7B8CAD8A">
            <w:pPr>
              <w:pStyle w:val="17"/>
              <w:jc w:val="left"/>
              <w:rPr>
                <w:sz w:val="18"/>
                <w:szCs w:val="18"/>
              </w:rPr>
            </w:pPr>
          </w:p>
        </w:tc>
        <w:tc>
          <w:tcPr>
            <w:tcW w:w="909" w:type="dxa"/>
          </w:tcPr>
          <w:p w14:paraId="3B61A696">
            <w:pPr>
              <w:pStyle w:val="17"/>
              <w:jc w:val="left"/>
              <w:rPr>
                <w:sz w:val="18"/>
                <w:szCs w:val="18"/>
              </w:rPr>
            </w:pPr>
          </w:p>
        </w:tc>
      </w:tr>
      <w:tr w14:paraId="03AE6E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75" w:hRule="atLeast"/>
        </w:trPr>
        <w:tc>
          <w:tcPr>
            <w:tcW w:w="906" w:type="dxa"/>
          </w:tcPr>
          <w:p w14:paraId="43AE5B7D">
            <w:pPr>
              <w:pStyle w:val="17"/>
              <w:jc w:val="center"/>
              <w:rPr>
                <w:rFonts w:hint="eastAsia" w:eastAsia="宋体"/>
                <w:sz w:val="18"/>
                <w:szCs w:val="18"/>
                <w:lang w:eastAsia="zh-CN"/>
              </w:rPr>
            </w:pPr>
            <w:r>
              <w:rPr>
                <w:rFonts w:hint="eastAsia"/>
                <w:sz w:val="18"/>
                <w:szCs w:val="18"/>
                <w:lang w:eastAsia="zh-CN"/>
              </w:rPr>
              <w:t>合计</w:t>
            </w:r>
          </w:p>
        </w:tc>
        <w:tc>
          <w:tcPr>
            <w:tcW w:w="8368" w:type="dxa"/>
            <w:gridSpan w:val="2"/>
          </w:tcPr>
          <w:p w14:paraId="6F5AF01D">
            <w:pPr>
              <w:pStyle w:val="17"/>
              <w:jc w:val="center"/>
              <w:rPr>
                <w:sz w:val="18"/>
                <w:szCs w:val="18"/>
              </w:rPr>
            </w:pPr>
            <w:r>
              <w:rPr>
                <w:rFonts w:hint="eastAsia"/>
                <w:sz w:val="18"/>
                <w:szCs w:val="18"/>
                <w:lang w:val="en-US" w:eastAsia="zh-CN"/>
              </w:rPr>
              <w:t>100分</w:t>
            </w:r>
          </w:p>
        </w:tc>
        <w:tc>
          <w:tcPr>
            <w:tcW w:w="716" w:type="dxa"/>
          </w:tcPr>
          <w:p w14:paraId="5EBD0942">
            <w:pPr>
              <w:pStyle w:val="17"/>
              <w:jc w:val="left"/>
              <w:rPr>
                <w:sz w:val="18"/>
                <w:szCs w:val="18"/>
              </w:rPr>
            </w:pPr>
          </w:p>
        </w:tc>
        <w:tc>
          <w:tcPr>
            <w:tcW w:w="909" w:type="dxa"/>
          </w:tcPr>
          <w:p w14:paraId="30D28F11">
            <w:pPr>
              <w:pStyle w:val="17"/>
              <w:jc w:val="left"/>
              <w:rPr>
                <w:sz w:val="18"/>
                <w:szCs w:val="18"/>
              </w:rPr>
            </w:pPr>
          </w:p>
        </w:tc>
      </w:tr>
    </w:tbl>
    <w:p w14:paraId="1C2830B4">
      <w:pPr>
        <w:spacing w:line="480" w:lineRule="exact"/>
        <w:jc w:val="center"/>
        <w:rPr>
          <w:rFonts w:hint="eastAsia" w:ascii="方正小标宋简体" w:hAnsi="宋体" w:eastAsia="方正小标宋简体" w:cs="宋体"/>
          <w:kern w:val="0"/>
          <w:sz w:val="36"/>
          <w:szCs w:val="36"/>
          <w:lang w:val="en-US" w:eastAsia="zh-CN"/>
        </w:rPr>
      </w:pPr>
    </w:p>
    <w:sectPr>
      <w:headerReference r:id="rId3" w:type="default"/>
      <w:footerReference r:id="rId4" w:type="default"/>
      <w:pgSz w:w="11906" w:h="16838"/>
      <w:pgMar w:top="720" w:right="340" w:bottom="527" w:left="340" w:header="231" w:footer="283"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99F7A">
    <w:pPr>
      <w:spacing w:line="480" w:lineRule="exact"/>
      <w:jc w:val="center"/>
      <w:rPr>
        <w:rFonts w:hint="default" w:eastAsia="宋体"/>
        <w:lang w:val="en-US" w:eastAsia="zh-CN"/>
      </w:rPr>
    </w:pPr>
    <w:r>
      <w:rPr>
        <w:rFonts w:hint="eastAsia"/>
        <w:lang w:val="en-US" w:eastAsia="zh-CN"/>
      </w:rPr>
      <w:t>专家签名：                                             日期：</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A9137">
    <w:pPr>
      <w:pStyle w:val="6"/>
      <w:pBdr>
        <w:bottom w:val="none" w:color="auto" w:sz="0" w:space="1"/>
      </w:pBdr>
      <w:spacing w:line="520" w:lineRule="exact"/>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江门市妇幼保健院招采项目评分表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1C9"/>
    <w:rsid w:val="00013713"/>
    <w:rsid w:val="00047B1C"/>
    <w:rsid w:val="00066F68"/>
    <w:rsid w:val="000960AD"/>
    <w:rsid w:val="000A0ABC"/>
    <w:rsid w:val="00137CD2"/>
    <w:rsid w:val="00143B27"/>
    <w:rsid w:val="001535F6"/>
    <w:rsid w:val="00154B1A"/>
    <w:rsid w:val="00161E8A"/>
    <w:rsid w:val="00162000"/>
    <w:rsid w:val="00162E1F"/>
    <w:rsid w:val="00187F73"/>
    <w:rsid w:val="00193110"/>
    <w:rsid w:val="00193499"/>
    <w:rsid w:val="001B5B95"/>
    <w:rsid w:val="001C5DF0"/>
    <w:rsid w:val="001D308E"/>
    <w:rsid w:val="001D7F64"/>
    <w:rsid w:val="001F437C"/>
    <w:rsid w:val="00216740"/>
    <w:rsid w:val="0023749A"/>
    <w:rsid w:val="0024179B"/>
    <w:rsid w:val="002705F7"/>
    <w:rsid w:val="00272621"/>
    <w:rsid w:val="0027694A"/>
    <w:rsid w:val="002A7476"/>
    <w:rsid w:val="002D03DF"/>
    <w:rsid w:val="002D7599"/>
    <w:rsid w:val="002F21B9"/>
    <w:rsid w:val="003154E9"/>
    <w:rsid w:val="00357EB5"/>
    <w:rsid w:val="0036474D"/>
    <w:rsid w:val="0038016C"/>
    <w:rsid w:val="003811EB"/>
    <w:rsid w:val="0038542A"/>
    <w:rsid w:val="00387129"/>
    <w:rsid w:val="00395098"/>
    <w:rsid w:val="003A12F7"/>
    <w:rsid w:val="003B284E"/>
    <w:rsid w:val="003E1E45"/>
    <w:rsid w:val="003E2501"/>
    <w:rsid w:val="003F1F11"/>
    <w:rsid w:val="003F7928"/>
    <w:rsid w:val="0044070A"/>
    <w:rsid w:val="00474FC2"/>
    <w:rsid w:val="00476B5C"/>
    <w:rsid w:val="00490549"/>
    <w:rsid w:val="00497878"/>
    <w:rsid w:val="004C1423"/>
    <w:rsid w:val="0050581E"/>
    <w:rsid w:val="00513ECE"/>
    <w:rsid w:val="005243A5"/>
    <w:rsid w:val="00526DC0"/>
    <w:rsid w:val="00530482"/>
    <w:rsid w:val="00533958"/>
    <w:rsid w:val="00556D62"/>
    <w:rsid w:val="00566ADB"/>
    <w:rsid w:val="0057136E"/>
    <w:rsid w:val="00574127"/>
    <w:rsid w:val="00577582"/>
    <w:rsid w:val="00592401"/>
    <w:rsid w:val="00593ED4"/>
    <w:rsid w:val="0059422A"/>
    <w:rsid w:val="005B278E"/>
    <w:rsid w:val="005B749B"/>
    <w:rsid w:val="005D2381"/>
    <w:rsid w:val="00633625"/>
    <w:rsid w:val="0063669D"/>
    <w:rsid w:val="00645D6F"/>
    <w:rsid w:val="0068676D"/>
    <w:rsid w:val="00694720"/>
    <w:rsid w:val="006953CF"/>
    <w:rsid w:val="0069761F"/>
    <w:rsid w:val="006A11C9"/>
    <w:rsid w:val="006A1BCF"/>
    <w:rsid w:val="006A7376"/>
    <w:rsid w:val="006A7990"/>
    <w:rsid w:val="006C7CEE"/>
    <w:rsid w:val="006E4AE1"/>
    <w:rsid w:val="006F17FA"/>
    <w:rsid w:val="00716E25"/>
    <w:rsid w:val="00724E9D"/>
    <w:rsid w:val="00732269"/>
    <w:rsid w:val="007432CF"/>
    <w:rsid w:val="00751843"/>
    <w:rsid w:val="00780C08"/>
    <w:rsid w:val="007947BC"/>
    <w:rsid w:val="00803258"/>
    <w:rsid w:val="00804B1B"/>
    <w:rsid w:val="00817B88"/>
    <w:rsid w:val="0082650E"/>
    <w:rsid w:val="00854248"/>
    <w:rsid w:val="008B1551"/>
    <w:rsid w:val="008D64C2"/>
    <w:rsid w:val="008F5A43"/>
    <w:rsid w:val="00903484"/>
    <w:rsid w:val="009046F1"/>
    <w:rsid w:val="00904DA4"/>
    <w:rsid w:val="00914218"/>
    <w:rsid w:val="00915ACA"/>
    <w:rsid w:val="009266C7"/>
    <w:rsid w:val="00937C0C"/>
    <w:rsid w:val="009B325E"/>
    <w:rsid w:val="009B5B7B"/>
    <w:rsid w:val="009B7F5A"/>
    <w:rsid w:val="009C34DE"/>
    <w:rsid w:val="009D3B54"/>
    <w:rsid w:val="009E0A51"/>
    <w:rsid w:val="009F433E"/>
    <w:rsid w:val="009F603B"/>
    <w:rsid w:val="00A0375A"/>
    <w:rsid w:val="00A25994"/>
    <w:rsid w:val="00A326D2"/>
    <w:rsid w:val="00A35C11"/>
    <w:rsid w:val="00A40F93"/>
    <w:rsid w:val="00A423D3"/>
    <w:rsid w:val="00A55122"/>
    <w:rsid w:val="00A60817"/>
    <w:rsid w:val="00A643B2"/>
    <w:rsid w:val="00A934B5"/>
    <w:rsid w:val="00AA22E2"/>
    <w:rsid w:val="00AA5B59"/>
    <w:rsid w:val="00AC2F3D"/>
    <w:rsid w:val="00AC36FB"/>
    <w:rsid w:val="00B0492A"/>
    <w:rsid w:val="00B32D8A"/>
    <w:rsid w:val="00B66EE8"/>
    <w:rsid w:val="00B74781"/>
    <w:rsid w:val="00BA2983"/>
    <w:rsid w:val="00BA6686"/>
    <w:rsid w:val="00BD4CE1"/>
    <w:rsid w:val="00BD7455"/>
    <w:rsid w:val="00C0765C"/>
    <w:rsid w:val="00C4061F"/>
    <w:rsid w:val="00C40ADD"/>
    <w:rsid w:val="00C560BC"/>
    <w:rsid w:val="00C61A02"/>
    <w:rsid w:val="00C72981"/>
    <w:rsid w:val="00C90F49"/>
    <w:rsid w:val="00C97DDE"/>
    <w:rsid w:val="00CD48DB"/>
    <w:rsid w:val="00CD567B"/>
    <w:rsid w:val="00CF50F7"/>
    <w:rsid w:val="00D031BD"/>
    <w:rsid w:val="00D24572"/>
    <w:rsid w:val="00D266BD"/>
    <w:rsid w:val="00D34FF3"/>
    <w:rsid w:val="00D554FE"/>
    <w:rsid w:val="00D5731E"/>
    <w:rsid w:val="00D64AFB"/>
    <w:rsid w:val="00D7291B"/>
    <w:rsid w:val="00D73D1D"/>
    <w:rsid w:val="00D84386"/>
    <w:rsid w:val="00D87CE4"/>
    <w:rsid w:val="00DA159D"/>
    <w:rsid w:val="00DC6AC7"/>
    <w:rsid w:val="00DD0592"/>
    <w:rsid w:val="00DD059D"/>
    <w:rsid w:val="00DD3D20"/>
    <w:rsid w:val="00DE2169"/>
    <w:rsid w:val="00DF16FF"/>
    <w:rsid w:val="00DF5E0C"/>
    <w:rsid w:val="00E043F5"/>
    <w:rsid w:val="00E4113C"/>
    <w:rsid w:val="00E41F94"/>
    <w:rsid w:val="00E43DB7"/>
    <w:rsid w:val="00E7031A"/>
    <w:rsid w:val="00EA0689"/>
    <w:rsid w:val="00EA2073"/>
    <w:rsid w:val="00EB19D5"/>
    <w:rsid w:val="00EC2EE7"/>
    <w:rsid w:val="00EC6BBE"/>
    <w:rsid w:val="00F25709"/>
    <w:rsid w:val="00F50751"/>
    <w:rsid w:val="00F52E0F"/>
    <w:rsid w:val="00F834A9"/>
    <w:rsid w:val="00F92EB2"/>
    <w:rsid w:val="00FD5302"/>
    <w:rsid w:val="00FE7A31"/>
    <w:rsid w:val="06085010"/>
    <w:rsid w:val="069D376A"/>
    <w:rsid w:val="06AA71FC"/>
    <w:rsid w:val="076A3E76"/>
    <w:rsid w:val="07EF0236"/>
    <w:rsid w:val="085D7EC7"/>
    <w:rsid w:val="08903B99"/>
    <w:rsid w:val="09272E13"/>
    <w:rsid w:val="094D2134"/>
    <w:rsid w:val="0A655802"/>
    <w:rsid w:val="0A8B1561"/>
    <w:rsid w:val="0B29385D"/>
    <w:rsid w:val="0BB66D16"/>
    <w:rsid w:val="0C6D2950"/>
    <w:rsid w:val="0D8A7B44"/>
    <w:rsid w:val="0EE35194"/>
    <w:rsid w:val="0F1F0A85"/>
    <w:rsid w:val="0F5457FA"/>
    <w:rsid w:val="0FC22C67"/>
    <w:rsid w:val="10BB6702"/>
    <w:rsid w:val="11C955BB"/>
    <w:rsid w:val="12492775"/>
    <w:rsid w:val="129E6898"/>
    <w:rsid w:val="136646D4"/>
    <w:rsid w:val="13EC5F71"/>
    <w:rsid w:val="13F27D2F"/>
    <w:rsid w:val="14D342B9"/>
    <w:rsid w:val="155434D9"/>
    <w:rsid w:val="15810270"/>
    <w:rsid w:val="15992D7D"/>
    <w:rsid w:val="16550F32"/>
    <w:rsid w:val="16A135AF"/>
    <w:rsid w:val="16EA4CA9"/>
    <w:rsid w:val="16EC4928"/>
    <w:rsid w:val="17697775"/>
    <w:rsid w:val="17841624"/>
    <w:rsid w:val="17FE273C"/>
    <w:rsid w:val="19341FBA"/>
    <w:rsid w:val="1AFA79D1"/>
    <w:rsid w:val="1B202914"/>
    <w:rsid w:val="1D2D666C"/>
    <w:rsid w:val="1D3075F1"/>
    <w:rsid w:val="1F197DC3"/>
    <w:rsid w:val="1F8E2953"/>
    <w:rsid w:val="1FA80F91"/>
    <w:rsid w:val="20542568"/>
    <w:rsid w:val="2154483D"/>
    <w:rsid w:val="21963960"/>
    <w:rsid w:val="231A0926"/>
    <w:rsid w:val="239D1036"/>
    <w:rsid w:val="247F0152"/>
    <w:rsid w:val="2496235F"/>
    <w:rsid w:val="258336AB"/>
    <w:rsid w:val="25BD0EF9"/>
    <w:rsid w:val="268D24CB"/>
    <w:rsid w:val="26DC7908"/>
    <w:rsid w:val="26EB55DC"/>
    <w:rsid w:val="27B37D2F"/>
    <w:rsid w:val="27BC1450"/>
    <w:rsid w:val="28906419"/>
    <w:rsid w:val="29061681"/>
    <w:rsid w:val="29346F27"/>
    <w:rsid w:val="2A5C0989"/>
    <w:rsid w:val="2ACC15C7"/>
    <w:rsid w:val="2B0748A3"/>
    <w:rsid w:val="2CA8783B"/>
    <w:rsid w:val="2DD84003"/>
    <w:rsid w:val="2F945C9C"/>
    <w:rsid w:val="3073310C"/>
    <w:rsid w:val="30F73365"/>
    <w:rsid w:val="311473FB"/>
    <w:rsid w:val="31C24CE3"/>
    <w:rsid w:val="31FC7390"/>
    <w:rsid w:val="32A233A1"/>
    <w:rsid w:val="32A36BD3"/>
    <w:rsid w:val="347A0A28"/>
    <w:rsid w:val="34D46B38"/>
    <w:rsid w:val="34F06469"/>
    <w:rsid w:val="35037688"/>
    <w:rsid w:val="35497DFC"/>
    <w:rsid w:val="356E6D37"/>
    <w:rsid w:val="36405C01"/>
    <w:rsid w:val="36794C6B"/>
    <w:rsid w:val="36DC6F0E"/>
    <w:rsid w:val="374B128B"/>
    <w:rsid w:val="376B702A"/>
    <w:rsid w:val="38B96174"/>
    <w:rsid w:val="3A394391"/>
    <w:rsid w:val="3AF215C1"/>
    <w:rsid w:val="3B011BDC"/>
    <w:rsid w:val="3B885D22"/>
    <w:rsid w:val="3B9236C9"/>
    <w:rsid w:val="3C1A48A7"/>
    <w:rsid w:val="3CDD110F"/>
    <w:rsid w:val="3D494F99"/>
    <w:rsid w:val="3DEF482D"/>
    <w:rsid w:val="41300182"/>
    <w:rsid w:val="415F13B8"/>
    <w:rsid w:val="42557F64"/>
    <w:rsid w:val="4302007D"/>
    <w:rsid w:val="44B7644A"/>
    <w:rsid w:val="44C60C63"/>
    <w:rsid w:val="44ED1B2D"/>
    <w:rsid w:val="483F7F95"/>
    <w:rsid w:val="484F022F"/>
    <w:rsid w:val="491A4480"/>
    <w:rsid w:val="49380563"/>
    <w:rsid w:val="4B143107"/>
    <w:rsid w:val="4C7A2888"/>
    <w:rsid w:val="4CC151FB"/>
    <w:rsid w:val="4CDF25AC"/>
    <w:rsid w:val="4D9D6E4B"/>
    <w:rsid w:val="4E2C224E"/>
    <w:rsid w:val="51656219"/>
    <w:rsid w:val="532219F2"/>
    <w:rsid w:val="532D3606"/>
    <w:rsid w:val="54260C04"/>
    <w:rsid w:val="54AF439E"/>
    <w:rsid w:val="56937118"/>
    <w:rsid w:val="56E2471A"/>
    <w:rsid w:val="57204800"/>
    <w:rsid w:val="57503424"/>
    <w:rsid w:val="578C7052"/>
    <w:rsid w:val="597466A4"/>
    <w:rsid w:val="5B237E93"/>
    <w:rsid w:val="5C2B06C5"/>
    <w:rsid w:val="5E1C33F4"/>
    <w:rsid w:val="5E3B7AF9"/>
    <w:rsid w:val="5FE22D60"/>
    <w:rsid w:val="60017D91"/>
    <w:rsid w:val="606964BC"/>
    <w:rsid w:val="60CC2CDD"/>
    <w:rsid w:val="614E730A"/>
    <w:rsid w:val="636D582F"/>
    <w:rsid w:val="6395523F"/>
    <w:rsid w:val="63E818F6"/>
    <w:rsid w:val="646060BC"/>
    <w:rsid w:val="64617060"/>
    <w:rsid w:val="64A010A4"/>
    <w:rsid w:val="64C115D9"/>
    <w:rsid w:val="65A6536B"/>
    <w:rsid w:val="65D16E38"/>
    <w:rsid w:val="665477F1"/>
    <w:rsid w:val="66C22023"/>
    <w:rsid w:val="66E42BA0"/>
    <w:rsid w:val="6712692A"/>
    <w:rsid w:val="67361858"/>
    <w:rsid w:val="67953680"/>
    <w:rsid w:val="685933BE"/>
    <w:rsid w:val="69783B7C"/>
    <w:rsid w:val="69AA1A66"/>
    <w:rsid w:val="69E63E4A"/>
    <w:rsid w:val="6AB06D96"/>
    <w:rsid w:val="6AD12B4E"/>
    <w:rsid w:val="6CBC665B"/>
    <w:rsid w:val="6D8A74C3"/>
    <w:rsid w:val="6DDA2CA0"/>
    <w:rsid w:val="71DA42DA"/>
    <w:rsid w:val="72AE42B2"/>
    <w:rsid w:val="73E752B4"/>
    <w:rsid w:val="74932C46"/>
    <w:rsid w:val="754C03FE"/>
    <w:rsid w:val="7646191B"/>
    <w:rsid w:val="77050A54"/>
    <w:rsid w:val="773A7C2A"/>
    <w:rsid w:val="77AE7BE8"/>
    <w:rsid w:val="78360DC6"/>
    <w:rsid w:val="789D1A6F"/>
    <w:rsid w:val="79804A8A"/>
    <w:rsid w:val="7A10646B"/>
    <w:rsid w:val="7A140357"/>
    <w:rsid w:val="7C9B6A7C"/>
    <w:rsid w:val="7CCA66DD"/>
    <w:rsid w:val="7CE34C72"/>
    <w:rsid w:val="7EB81375"/>
    <w:rsid w:val="7F5065BF"/>
    <w:rsid w:val="7F567F7A"/>
    <w:rsid w:val="7F572178"/>
    <w:rsid w:val="7FD76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qFormat/>
    <w:uiPriority w:val="0"/>
    <w:pPr>
      <w:spacing w:line="560" w:lineRule="exact"/>
      <w:ind w:firstLine="630" w:firstLineChars="200"/>
      <w:jc w:val="both"/>
    </w:pPr>
    <w:rPr>
      <w:rFonts w:ascii="Times New Roman" w:hAnsi="Times New Roman" w:eastAsia="仿宋_GB2312" w:cs="仿宋_GB2312"/>
      <w:spacing w:val="-6"/>
      <w:sz w:val="32"/>
      <w:szCs w:val="32"/>
      <w:lang w:val="en-US" w:eastAsia="zh-CN" w:bidi="ar-SA"/>
    </w:rPr>
  </w:style>
  <w:style w:type="paragraph" w:styleId="4">
    <w:name w:val="Plain Text"/>
    <w:basedOn w:val="1"/>
    <w:link w:val="16"/>
    <w:unhideWhenUsed/>
    <w:qFormat/>
    <w:uiPriority w:val="0"/>
    <w:rPr>
      <w:rFonts w:ascii="宋体" w:hAnsi="Courier New" w:cstheme="minorBidi"/>
      <w:szCs w:val="22"/>
    </w:rPr>
  </w:style>
  <w:style w:type="paragraph" w:styleId="5">
    <w:name w:val="footer"/>
    <w:basedOn w:val="1"/>
    <w:link w:val="13"/>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Normal (Web)"/>
    <w:basedOn w:val="1"/>
    <w:semiHidden/>
    <w:unhideWhenUsed/>
    <w:qFormat/>
    <w:uiPriority w:val="99"/>
    <w:rPr>
      <w:sz w:val="24"/>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纯文本 Char"/>
    <w:basedOn w:val="10"/>
    <w:qFormat/>
    <w:locked/>
    <w:uiPriority w:val="0"/>
    <w:rPr>
      <w:rFonts w:ascii="宋体" w:hAnsi="Courier New" w:eastAsia="宋体"/>
    </w:rPr>
  </w:style>
  <w:style w:type="character" w:customStyle="1" w:styleId="16">
    <w:name w:val="纯文本 Char1"/>
    <w:basedOn w:val="10"/>
    <w:link w:val="4"/>
    <w:semiHidden/>
    <w:qFormat/>
    <w:uiPriority w:val="99"/>
    <w:rPr>
      <w:rFonts w:ascii="宋体" w:hAnsi="Courier New" w:eastAsia="宋体" w:cs="Courier New"/>
      <w:szCs w:val="21"/>
    </w:rPr>
  </w:style>
  <w:style w:type="paragraph" w:customStyle="1" w:styleId="17">
    <w:name w:val="null3"/>
    <w:qFormat/>
    <w:uiPriority w:val="0"/>
    <w:rPr>
      <w:rFonts w:hint="eastAsia" w:ascii="Calibri" w:hAnsi="Calibri" w:eastAsia="宋体" w:cs="宋体"/>
      <w:lang w:val="en-US" w:eastAsia="zh-CN" w:bidi="ar-SA"/>
    </w:rPr>
  </w:style>
  <w:style w:type="character" w:customStyle="1" w:styleId="18">
    <w:name w:val="font21"/>
    <w:basedOn w:val="10"/>
    <w:qFormat/>
    <w:uiPriority w:val="0"/>
    <w:rPr>
      <w:rFonts w:hint="eastAsia" w:ascii="宋体" w:hAnsi="宋体" w:eastAsia="宋体" w:cs="宋体"/>
      <w:b/>
      <w:bCs/>
      <w:color w:val="000000"/>
      <w:sz w:val="24"/>
      <w:szCs w:val="24"/>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1375</Words>
  <Characters>1446</Characters>
  <Lines>8</Lines>
  <Paragraphs>2</Paragraphs>
  <TotalTime>1</TotalTime>
  <ScaleCrop>false</ScaleCrop>
  <LinksUpToDate>false</LinksUpToDate>
  <CharactersWithSpaces>1467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2026-01-09T09:57:00Z</dcterms:created>
  <dc:creator>倪良军</dc:creator>
  <cp:lastModifiedBy>  </cp:lastModifiedBy>
  <cp:lastPrinted>2025-12-04T09:07:00Z</cp:lastPrinted>
  <dcterms:modified xsi:type="dcterms:W3CDTF">2026-04-28T08:38:05Z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eyJoZGlkIjoiNjI4MGFhMzNkNWViMDFkODMyYzBmYmY3MjUyOWZjODUiLCJ1c2VySWQiOiIzNzE4MDk3NDIifQ==</vt:lpwstr>
  </property>
  <property fmtid="{D5CDD505-2E9C-101B-9397-08002B2CF9AE}" pid="4" name="ICV">
    <vt:lpwstr>096947814713497E849BFBAA12316651_13</vt:lpwstr>
  </property>
</Properties>
</file>