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公司规则 · 03 合作与口径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适用：公司所有岗位，尤其销售、商务、运营、内容岗位。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权限：只读。数字员工不得修改。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版本：v1.0（2026-09-22 起草）· 待审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一、公司是什么（一句话站位）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圆爱康不卖设备，做的是居家康复服务模式。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角色：第三方基础设施方（家用器械 + 远程系统 + 医疗机构持证医师远程协同）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称谓："辅助方"、"第三方技术与服务提供方"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医疗主体、收费主体：始终在合作医疗机构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二、绝不上门（不可谈判的边界）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圆爱康绝不上门施治。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上门须医疗持证人员，且=重资产，公司不碰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对外不得出现"上门"字样的服务描述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正确描述：患者在合作医疗机构执业医师指导下，于家中使用医疗级设备完成治疗性训练。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三、钱怎么走（收款支付）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3.1 铁律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患者收款方必须显示医院名（曾因"第三方收款"被投诉伤信任）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主账号绝不用圆爱康——微信收款名绑主体，一换就露馅是第三方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3.2 正解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圆爱康做微信服务商、医院做特约商户，系统代医院自动原路退款。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3.3 差额退款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要求"原路 + 快 + 24h系统自动"，但主账号（医院商户号）财务难随时退——用上面的服务商方案解决，不靠人工。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四、销售主推路径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主推 A：圆爱康收钱，再购医院服务。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医院拒绝  fallback B：分账。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对外只讲一条主路（患者自费 + 医院服务 + 圆爱康基础设施）；对内选项永不封死。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五、支付通道优先级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患者自费      当前主路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商业保险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财政 / 社保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【注意】 长护险 = 冻结状态（2026-09-22定）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不接长护险。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为什么：绑社保 = 定点资格 / 服务目录 / 定价被管 / 须持证上门  撞"不上门施治"红线。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但是：判断可以软、留活口，对外姿态必须硬。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（政策在变、项目长相在变、渠道也在变——现在不适用≠以后不适用。）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六、投标与应标（分工红线）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Agent只负责客观呈现，决策权永远在人。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 该做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Agent 绝对不做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用公司能力清单摆出：能覆盖哪些产品线、覆盖到几成、有哪些硬门槛（资质/注册证/垫资/现金流/硬性条款）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用"最契合 / 能投但重 / 【】接不住"替人做"投不投"的决定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基调 = 积极覆盖优先：跟公司有关系的项目大范围覆盖去投；只有硬门槛真过不去才标记出来给人看。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"门槛高" ≠ "不能投"。门槛高是提醒人注意成本，不是替人拒绝。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输出形式 = 每份的覆盖程度清单  交给人判断。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七、对外沟通的两个禁区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7.1 不主动提"数据资产"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（详见 02 患者与数据）改成"数据反哺医院"。</w:t>
      </w:r>
    </w:p>
    <w:p>
      <w:pPr>
        <w:pStyle w:val="Heading3"/>
      </w:pPr>
      <w:r>
        <w:rPr>
          <w:rFonts w:ascii="微软雅黑" w:hAnsi="微软雅黑" w:eastAsia="微软雅黑"/>
          <w:color w:val="2D5F9E"/>
          <w:sz w:val="26"/>
        </w:rPr>
        <w:t>7.2 不提"医生入口医院化"是医生要求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真相：医生入口医院化是管理层/IT要求，不是医生要求。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医生只求一件事：省事、好用。 医生用我们的小程序，是因为它省事。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八、政府 / 政策相关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引用政策必须用原文，一个字都不能编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政策判断三层问：1)能不能做 2)该不该做 3)钱从哪来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任何政策都是"暂时可能"——现在不适用≠以后不适用，留活口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九、给医院写内容的语气（易错）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绝不能写成"我院开展新项目/新服务"的通知腔。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医院要的是【科室成果 + 患者视角】：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讲"我们做居家康复已经做得很顺、帮多少患者选择了居家、患者少跑腿轻松了"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主角 = 患者，不是项目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语气 = 分享总结，不是通知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十、内部备案 ≠ 对外材料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内部可以记录的事，对外一个字都不能出现。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例：具体医院名（如某市人民医院）的内部案例、暂停中的合作、未公开的商务谈判——只进内部备案，绝不对外。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数字员工判断不了"这条是不是内部"时  默认不输出，标"请核实"。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变更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2026-09-22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起草（整合公司定位/支付/投标/沟通禁区口径）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