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line="360" w:lineRule="auto"/>
        <w:jc w:val="center"/>
      </w:pPr>
      <w:r>
        <w:rPr>
          <w:b/>
          <w:color w:val="003366"/>
          <w:sz w:val="44"/>
        </w:rPr>
        <w:t>合同审议意见书 · 女性盆底康复居家项目</w:t>
      </w:r>
    </w:p>
    <w:p>
      <w:pPr>
        <w:spacing w:before="320" w:after="120" w:line="360" w:lineRule="auto"/>
      </w:pPr>
      <w:r>
        <w:rPr>
          <w:b/>
          <w:color w:val="003366"/>
          <w:sz w:val="34"/>
        </w:rPr>
        <w:t>合同审议意见书</w:t>
      </w:r>
    </w:p>
    <w:p>
      <w:r>
        <w:rPr>
          <w:b/>
          <w:sz w:val="22"/>
        </w:rPr>
        <w:t>审阅方： 广州圆爱康生物科技有限公司（乙方）</w:t>
      </w:r>
    </w:p>
    <w:p>
      <w:r>
        <w:rPr>
          <w:b/>
          <w:sz w:val="22"/>
        </w:rPr>
        <w:t>合同名称： 《服务采购合同——女性盆底康复居家项目第三方服务》</w:t>
      </w:r>
    </w:p>
    <w:p>
      <w:r>
        <w:rPr>
          <w:b/>
          <w:sz w:val="22"/>
        </w:rPr>
        <w:t>甲方： 广东医科大学顺德妇女儿童医院（佛山市顺德区妇幼保健院）</w:t>
      </w:r>
    </w:p>
    <w:p>
      <w:r>
        <w:rPr>
          <w:b/>
          <w:sz w:val="22"/>
        </w:rPr>
        <w:t>预算金额： ¥980,000.00</w:t>
      </w:r>
    </w:p>
    <w:p>
      <w:pPr>
        <w:spacing w:before="280" w:after="120" w:line="360" w:lineRule="auto"/>
      </w:pPr>
      <w:r>
        <w:rPr>
          <w:b/>
          <w:color w:val="004C80"/>
          <w:sz w:val="30"/>
        </w:rPr>
        <w:t>一、核心风险项（建议重点谈判）</w:t>
      </w:r>
    </w:p>
    <w:p>
      <w:pPr>
        <w:spacing w:before="200" w:after="120" w:line="360" w:lineRule="auto"/>
      </w:pPr>
      <w:r>
        <w:rPr>
          <w:b/>
          <w:color w:val="006699"/>
          <w:sz w:val="24"/>
        </w:rPr>
        <w:t>风险1 — "最后自主定价价格"定义模糊（第2.1条、第15.2条）</w:t>
      </w:r>
    </w:p>
    <w:p>
      <w:r>
        <w:rPr>
          <w:b/>
          <w:sz w:val="22"/>
        </w:rPr>
        <w:t>原文：</w:t>
      </w:r>
    </w:p>
    <w:p>
      <w:pPr>
        <w:ind w:left="567"/>
      </w:pPr>
      <w:r>
        <w:rPr>
          <w:i/>
          <w:color w:val="505050"/>
          <w:sz w:val="20"/>
        </w:rPr>
        <w:t>最终合同总额=∑合同期内实际发生数量×**最后自主定价价格**×42%</w:t>
      </w:r>
    </w:p>
    <w:p>
      <w:r>
        <w:rPr>
          <w:b/>
          <w:sz w:val="22"/>
        </w:rPr>
        <w:t>风险分析：</w:t>
      </w:r>
    </w:p>
    <w:p>
      <w:pPr>
        <w:spacing w:line="360" w:lineRule="auto"/>
      </w:pPr>
      <w:r>
        <w:rPr>
          <w:sz w:val="22"/>
        </w:rPr>
        <w:t>"最后自主定价价格"概念不清，未限定基准。医院可后续单方面调低自主定价价格，直接导致乙方42%分成缩水。例如某服务包原定¥2,274/疗程，医院后续调为¥1,500，乙方收入从¥955降至¥630。</w:t>
      </w:r>
    </w:p>
    <w:p>
      <w:r>
        <w:rPr>
          <w:b/>
          <w:sz w:val="22"/>
        </w:rPr>
        <w:t>修改建议：</w:t>
      </w:r>
    </w:p>
    <w:p>
      <w:pPr>
        <w:spacing w:line="360" w:lineRule="auto"/>
      </w:pPr>
      <w:r>
        <w:rPr>
          <w:sz w:val="22"/>
        </w:rPr>
        <w:t>将附件一《服务包列表》中的价格明确为合同基准价，并增加保护条款：</w:t>
      </w:r>
    </w:p>
    <w:p>
      <w:pPr>
        <w:ind w:left="567"/>
      </w:pPr>
      <w:r>
        <w:rPr>
          <w:i/>
          <w:color w:val="505050"/>
          <w:sz w:val="20"/>
        </w:rPr>
        <w:t>15.2 实际结算金额的计算基础以本合同附件一《服务包列表》所列的各服务项目自主定价价格为基准价（以下简称"基准价"）。如甲方后续对自主定价价格进行调整，乙方结算所依据的价格不得低于双方另行书面确认的最低价。如双方不能就调价达成一致，仍按基准价执行至合同期满。</w:t>
      </w:r>
    </w:p>
    <w:p>
      <w:pPr>
        <w:spacing w:before="200" w:after="120" w:line="360" w:lineRule="auto"/>
      </w:pPr>
      <w:r>
        <w:rPr>
          <w:b/>
          <w:color w:val="006699"/>
          <w:sz w:val="24"/>
        </w:rPr>
        <w:t>风险2 — 42%固定折扣率无弹性（第2.1条、第15.1条）</w:t>
      </w:r>
    </w:p>
    <w:p>
      <w:r>
        <w:rPr>
          <w:b/>
          <w:sz w:val="22"/>
        </w:rPr>
        <w:t>风险分析：</w:t>
      </w:r>
    </w:p>
    <w:p>
      <w:pPr>
        <w:spacing w:line="360" w:lineRule="auto"/>
      </w:pPr>
      <w:r>
        <w:rPr>
          <w:sz w:val="22"/>
        </w:rPr>
        <w:t>无论服务量大小，乙方始终只拿42%。当服务量超过预期时，边际成本下降但分成比例不变，医院拿58%大头。建议根据年度总服务量设置阶梯分成。</w:t>
      </w:r>
    </w:p>
    <w:p>
      <w:r>
        <w:rPr>
          <w:b/>
          <w:sz w:val="22"/>
        </w:rPr>
        <w:t>修改建议（可选条款）：</w:t>
      </w:r>
    </w:p>
    <w:p>
      <w:pPr>
        <w:ind w:left="567"/>
      </w:pPr>
      <w:r>
        <w:rPr>
          <w:i/>
          <w:color w:val="505050"/>
          <w:sz w:val="20"/>
        </w:rPr>
        <w:t>15.1.1 年度结算总额未超过¥500,000的部分，按最后自主定价价格的42%结算；</w:t>
      </w:r>
    </w:p>
    <w:p>
      <w:pPr>
        <w:ind w:left="567"/>
      </w:pPr>
      <w:r>
        <w:rPr>
          <w:i/>
          <w:color w:val="505050"/>
          <w:sz w:val="20"/>
        </w:rPr>
        <w:t>年度结算总额在¥500,001至¥800,000之间的部分，按最后自主定价价格的45%结算；</w:t>
      </w:r>
    </w:p>
    <w:p>
      <w:pPr>
        <w:ind w:left="567"/>
      </w:pPr>
      <w:r>
        <w:rPr>
          <w:i/>
          <w:color w:val="505050"/>
          <w:sz w:val="20"/>
        </w:rPr>
        <w:t>年度结算总额超过¥800,000的部分，按最后自主定价价格的48%结算。</w:t>
      </w:r>
    </w:p>
    <w:p>
      <w:pPr>
        <w:spacing w:before="200" w:after="120" w:line="360" w:lineRule="auto"/>
      </w:pPr>
      <w:r>
        <w:rPr>
          <w:b/>
          <w:color w:val="006699"/>
          <w:sz w:val="24"/>
        </w:rPr>
        <w:t>风险3 — 履约保证金过高（第4.1条）</w:t>
      </w:r>
    </w:p>
    <w:p>
      <w:r>
        <w:rPr>
          <w:b/>
          <w:sz w:val="22"/>
        </w:rPr>
        <w:t>原文：</w:t>
      </w:r>
    </w:p>
    <w:p>
      <w:pPr>
        <w:ind w:left="567"/>
      </w:pPr>
      <w:r>
        <w:rPr>
          <w:i/>
          <w:color w:val="505050"/>
          <w:sz w:val="20"/>
        </w:rPr>
        <w:t>乙方在本合同生效之日起5个工作日内向甲方指定的银行账户足额交纳中标金额10%即¥98,000元</w:t>
      </w:r>
    </w:p>
    <w:p>
      <w:r>
        <w:rPr>
          <w:b/>
          <w:sz w:val="22"/>
        </w:rPr>
        <w:t>风险分析：</w:t>
      </w:r>
    </w:p>
    <w:p>
      <w:pPr>
        <w:spacing w:line="360" w:lineRule="auto"/>
      </w:pPr>
      <w:r>
        <w:rPr>
          <w:sz w:val="22"/>
        </w:rPr>
        <w:t>创业公司占用¥98,000现金5个工作日就要付出，且退还条件包含"其他应扣留履约保证金的情况"这一兜底条款，甲方自由裁量权过大。</w:t>
      </w:r>
    </w:p>
    <w:p>
      <w:r>
        <w:rPr>
          <w:b/>
          <w:sz w:val="22"/>
        </w:rPr>
        <w:t>修改建议：</w:t>
      </w:r>
    </w:p>
    <w:p>
      <w:pPr>
        <w:ind w:left="567"/>
      </w:pPr>
      <w:r>
        <w:rPr>
          <w:i/>
          <w:color w:val="505050"/>
          <w:sz w:val="20"/>
        </w:rPr>
        <w:t>方案A（推荐）：将履约保证金降至中标金额的5%（¥49,000），取消"其他应扣留履约保证金的情况"这一兜底条款，明确列举扣款情形。</w:t>
      </w:r>
    </w:p>
    <w:p>
      <w:pPr>
        <w:ind w:left="567"/>
      </w:pPr>
      <w:r>
        <w:rPr>
          <w:i/>
          <w:color w:val="505050"/>
          <w:sz w:val="20"/>
        </w:rPr>
      </w:r>
    </w:p>
    <w:p>
      <w:pPr>
        <w:ind w:left="567"/>
      </w:pPr>
      <w:r>
        <w:rPr>
          <w:i/>
          <w:color w:val="505050"/>
          <w:sz w:val="20"/>
        </w:rPr>
        <w:t>方案B：以银行履约保函替代现金保证金，降低资金占用成本。</w:t>
      </w:r>
    </w:p>
    <w:p>
      <w:pPr>
        <w:spacing w:before="200" w:after="120" w:line="360" w:lineRule="auto"/>
      </w:pPr>
      <w:r>
        <w:rPr>
          <w:b/>
          <w:color w:val="006699"/>
          <w:sz w:val="24"/>
        </w:rPr>
        <w:t>风险4 — 乙方违约责任不对等（第7.2条 vs 第7.1条）</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6E4F0"/>
          </w:tcPr>
          <w:p>
            <w:r/>
            <w:r>
              <w:rPr>
                <w:b/>
                <w:sz w:val="20"/>
              </w:rPr>
              <w:t>违约情形</w:t>
            </w:r>
          </w:p>
        </w:tc>
        <w:tc>
          <w:tcPr>
            <w:tcW w:type="dxa" w:w="2882"/>
            <w:shd w:val="clear" w:color="auto" w:fill="D6E4F0"/>
          </w:tcPr>
          <w:p>
            <w:r/>
            <w:r>
              <w:rPr>
                <w:b/>
                <w:sz w:val="20"/>
              </w:rPr>
              <w:t>乙方责任</w:t>
            </w:r>
          </w:p>
        </w:tc>
        <w:tc>
          <w:tcPr>
            <w:tcW w:type="dxa" w:w="2882"/>
            <w:shd w:val="clear" w:color="auto" w:fill="D6E4F0"/>
          </w:tcPr>
          <w:p>
            <w:r/>
            <w:r>
              <w:rPr>
                <w:b/>
                <w:sz w:val="20"/>
              </w:rPr>
              <w:t>甲方责任</w:t>
            </w:r>
          </w:p>
        </w:tc>
      </w:tr>
      <w:tr>
        <w:tc>
          <w:tcPr>
            <w:tcW w:type="dxa" w:w="2882"/>
          </w:tcPr>
          <w:p>
            <w:r/>
            <w:r>
              <w:rPr>
                <w:sz w:val="20"/>
              </w:rPr>
              <w:t>单方解除</w:t>
            </w:r>
          </w:p>
        </w:tc>
        <w:tc>
          <w:tcPr>
            <w:tcW w:type="dxa" w:w="2882"/>
          </w:tcPr>
          <w:p>
            <w:r/>
            <w:r>
              <w:rPr>
                <w:sz w:val="20"/>
              </w:rPr>
              <w:t>20%违约金+退款+拉黑</w:t>
            </w:r>
          </w:p>
        </w:tc>
        <w:tc>
          <w:tcPr>
            <w:tcW w:type="dxa" w:w="2882"/>
          </w:tcPr>
          <w:p>
            <w:r/>
            <w:r>
              <w:rPr>
                <w:sz w:val="20"/>
              </w:rPr>
              <w:t>20%违约金（仅限服务开始前）</w:t>
            </w:r>
          </w:p>
        </w:tc>
      </w:tr>
      <w:tr>
        <w:tc>
          <w:tcPr>
            <w:tcW w:type="dxa" w:w="2882"/>
            <w:shd w:val="clear" w:color="auto" w:fill="F2F7FB"/>
          </w:tcPr>
          <w:p>
            <w:r/>
            <w:r>
              <w:rPr>
                <w:sz w:val="20"/>
              </w:rPr>
              <w:t>逾期</w:t>
            </w:r>
          </w:p>
        </w:tc>
        <w:tc>
          <w:tcPr>
            <w:tcW w:type="dxa" w:w="2882"/>
            <w:shd w:val="clear" w:color="auto" w:fill="F2F7FB"/>
          </w:tcPr>
          <w:p>
            <w:r/>
            <w:r>
              <w:rPr>
                <w:sz w:val="20"/>
              </w:rPr>
              <w:t>每天1‰+超15天加20%+退款+拉黑</w:t>
            </w:r>
          </w:p>
        </w:tc>
        <w:tc>
          <w:tcPr>
            <w:tcW w:type="dxa" w:w="2882"/>
            <w:shd w:val="clear" w:color="auto" w:fill="F2F7FB"/>
          </w:tcPr>
          <w:p>
            <w:r/>
            <w:r>
              <w:rPr>
                <w:sz w:val="20"/>
              </w:rPr>
              <w:t>每天1‰，封顶20%</w:t>
            </w:r>
          </w:p>
        </w:tc>
      </w:tr>
      <w:tr>
        <w:tc>
          <w:tcPr>
            <w:tcW w:type="dxa" w:w="2882"/>
          </w:tcPr>
          <w:p>
            <w:r/>
            <w:r>
              <w:rPr>
                <w:sz w:val="20"/>
              </w:rPr>
              <w:t>服务不符</w:t>
            </w:r>
          </w:p>
        </w:tc>
        <w:tc>
          <w:tcPr>
            <w:tcW w:type="dxa" w:w="2882"/>
          </w:tcPr>
          <w:p>
            <w:r/>
            <w:r>
              <w:rPr>
                <w:sz w:val="20"/>
              </w:rPr>
              <w:t>拒收+整改+逾期违约金+20%一次性</w:t>
            </w:r>
          </w:p>
        </w:tc>
        <w:tc>
          <w:tcPr>
            <w:tcW w:type="dxa" w:w="2882"/>
          </w:tcPr>
          <w:p>
            <w:r/>
            <w:r>
              <w:rPr>
                <w:sz w:val="20"/>
              </w:rPr>
              <w:t>无对应条款</w:t>
            </w:r>
          </w:p>
        </w:tc>
      </w:tr>
    </w:tbl>
    <w:p/>
    <w:p>
      <w:r>
        <w:rPr>
          <w:b/>
          <w:sz w:val="22"/>
        </w:rPr>
        <w:t>修改建议：</w:t>
      </w:r>
    </w:p>
    <w:p>
      <w:pPr>
        <w:spacing w:line="360" w:lineRule="auto"/>
      </w:pPr>
      <w:r>
        <w:rPr>
          <w:sz w:val="22"/>
        </w:rPr>
        <w:t>乙方违约责任中删除"列入供应商黑名单"的表述，将逾期违约金上限调整为合同金额的10%（而非每次逾期均可追20%）。</w:t>
      </w:r>
    </w:p>
    <w:p>
      <w:pPr>
        <w:spacing w:before="200" w:after="120" w:line="360" w:lineRule="auto"/>
      </w:pPr>
      <w:r>
        <w:rPr>
          <w:b/>
          <w:color w:val="006699"/>
          <w:sz w:val="24"/>
        </w:rPr>
        <w:t>风险5 — 财政资金拨付免责条款（第15.4条）</w:t>
      </w:r>
    </w:p>
    <w:p>
      <w:r>
        <w:rPr>
          <w:b/>
          <w:sz w:val="22"/>
        </w:rPr>
        <w:t>原文：</w:t>
      </w:r>
    </w:p>
    <w:p>
      <w:pPr>
        <w:ind w:left="567"/>
      </w:pPr>
      <w:r>
        <w:rPr>
          <w:i/>
          <w:color w:val="505050"/>
          <w:sz w:val="20"/>
        </w:rPr>
        <w:t>甲方在前款规定的付款时间为向上级主管部门提出办理财政支付申请手续的时间（不含政府财政支付部门审核的时间），在规定时间内提出支付申请手续后即视为甲方已经按期支付。</w:t>
      </w:r>
    </w:p>
    <w:p>
      <w:r>
        <w:rPr>
          <w:b/>
          <w:sz w:val="22"/>
        </w:rPr>
        <w:t>风险分析：</w:t>
      </w:r>
    </w:p>
    <w:p>
      <w:pPr>
        <w:spacing w:line="360" w:lineRule="auto"/>
      </w:pPr>
      <w:r>
        <w:rPr>
          <w:sz w:val="22"/>
        </w:rPr>
        <w:t>财政审批周期不可控（可能1-6个月），此条款将审批拖延的风险全部转嫁给乙方。</w:t>
      </w:r>
    </w:p>
    <w:p>
      <w:r>
        <w:rPr>
          <w:b/>
          <w:sz w:val="22"/>
        </w:rPr>
        <w:t>修改建议：</w:t>
      </w:r>
    </w:p>
    <w:p>
      <w:pPr>
        <w:ind w:left="567"/>
      </w:pPr>
      <w:r>
        <w:rPr>
          <w:i/>
          <w:color w:val="505050"/>
          <w:sz w:val="20"/>
        </w:rPr>
        <w:t>删除或修改为：甲方应在服务季度结束后30个自然日内完成支付。因财政审批原因延期的，甲方应在逾期之日起10个工作日内向乙方出具书面说明及预计支付时间。</w:t>
      </w:r>
    </w:p>
    <w:p>
      <w:pPr>
        <w:spacing w:before="200" w:after="120" w:line="360" w:lineRule="auto"/>
      </w:pPr>
      <w:r>
        <w:rPr>
          <w:b/>
          <w:color w:val="006699"/>
          <w:sz w:val="24"/>
        </w:rPr>
        <w:t>风险6 — 设备丧失风险（第8.2条）</w:t>
      </w:r>
    </w:p>
    <w:p>
      <w:r>
        <w:rPr>
          <w:b/>
          <w:sz w:val="22"/>
        </w:rPr>
        <w:t>原文：</w:t>
      </w:r>
    </w:p>
    <w:p>
      <w:pPr>
        <w:ind w:left="567"/>
      </w:pPr>
      <w:r>
        <w:rPr>
          <w:i/>
          <w:color w:val="505050"/>
          <w:sz w:val="20"/>
        </w:rPr>
        <w:t>乙方应在甲方规定的时间内撤走所有人员与工具及器械等。否则乙方放在甲方场地内的工具、器械等将被视为废弃物，甲方有权处理，处理费用由乙方负责。</w:t>
      </w:r>
    </w:p>
    <w:p>
      <w:r>
        <w:rPr>
          <w:b/>
          <w:sz w:val="22"/>
        </w:rPr>
        <w:t>风险分析：</w:t>
      </w:r>
    </w:p>
    <w:p>
      <w:pPr>
        <w:spacing w:line="360" w:lineRule="auto"/>
      </w:pPr>
      <w:r>
        <w:rPr>
          <w:sz w:val="22"/>
        </w:rPr>
        <w:t>乙方的医疗设备（盆底康复治疗仪等）单价不低，若因通知不及时被甲方当废弃物处理，损失不可挽回。"甲方规定的时间"未明确具体天数。</w:t>
      </w:r>
    </w:p>
    <w:p>
      <w:r>
        <w:rPr>
          <w:b/>
          <w:sz w:val="22"/>
        </w:rPr>
        <w:t>修改建议：</w:t>
      </w:r>
    </w:p>
    <w:p>
      <w:pPr>
        <w:ind w:left="567"/>
      </w:pPr>
      <w:r>
        <w:rPr>
          <w:i/>
          <w:color w:val="505050"/>
          <w:sz w:val="20"/>
        </w:rPr>
        <w:t>修改为：合同终止后，甲方应提前30个自然日书面通知乙方撤场。乙方未在通知期限内撤场的，甲方可将设备移至指定地点暂存，暂存费用由乙方承担。甲方应在移存后7个工作日内再次书面通知乙方领回。</w:t>
      </w:r>
    </w:p>
    <w:p>
      <w:pPr>
        <w:spacing w:before="280" w:after="120" w:line="360" w:lineRule="auto"/>
      </w:pPr>
      <w:r>
        <w:rPr>
          <w:b/>
          <w:color w:val="004C80"/>
          <w:sz w:val="30"/>
        </w:rPr>
        <w:t>二、中风险项（建议关注）</w:t>
      </w:r>
    </w:p>
    <w:p>
      <w:pPr>
        <w:spacing w:before="200" w:after="120" w:line="360" w:lineRule="auto"/>
      </w:pPr>
      <w:r>
        <w:rPr>
          <w:b/>
          <w:color w:val="006699"/>
          <w:sz w:val="24"/>
        </w:rPr>
        <w:t>风险7 — 5分钟响应要求（第17.3条）</w:t>
      </w:r>
    </w:p>
    <w:p>
      <w:r>
        <w:rPr>
          <w:b/>
          <w:sz w:val="22"/>
        </w:rPr>
        <w:t>原文：</w:t>
      </w:r>
    </w:p>
    <w:p>
      <w:pPr>
        <w:ind w:left="567"/>
      </w:pPr>
      <w:r>
        <w:rPr>
          <w:i/>
          <w:color w:val="505050"/>
          <w:sz w:val="20"/>
        </w:rPr>
        <w:t>在线回复及时率100%（患者居家治疗时间提出问题或治疗中出现异常情况时在5分钟内回应）。</w:t>
      </w:r>
    </w:p>
    <w:p>
      <w:r>
        <w:rPr>
          <w:b/>
          <w:sz w:val="22"/>
        </w:rPr>
        <w:t>分析：</w:t>
      </w:r>
    </w:p>
    <w:p>
      <w:pPr>
        <w:spacing w:line="360" w:lineRule="auto"/>
      </w:pPr>
      <w:r>
        <w:rPr>
          <w:sz w:val="22"/>
        </w:rPr>
        <w:t>5分钟内响应包括夜间、节假日，需要24小时值班人员。若无充足客服团队配备，此项违约扣款风险较高。非工作日的响应时限建议放宽。</w:t>
      </w:r>
    </w:p>
    <w:p>
      <w:r>
        <w:rPr>
          <w:b/>
          <w:sz w:val="22"/>
        </w:rPr>
        <w:t>建议：</w:t>
      </w:r>
    </w:p>
    <w:p>
      <w:pPr>
        <w:spacing w:line="360" w:lineRule="auto"/>
      </w:pPr>
      <w:r>
        <w:rPr>
          <w:sz w:val="22"/>
        </w:rPr>
        <w:t>工作日5分钟内响应，非工作日（含节假日）30分钟内响应。</w:t>
      </w:r>
    </w:p>
    <w:p>
      <w:pPr>
        <w:spacing w:before="200" w:after="120" w:line="360" w:lineRule="auto"/>
      </w:pPr>
      <w:r>
        <w:rPr>
          <w:b/>
          <w:color w:val="006699"/>
          <w:sz w:val="24"/>
        </w:rPr>
        <w:t>风险8 — 人员派驻与医院现场管理（第16.12条）</w:t>
      </w:r>
    </w:p>
    <w:p>
      <w:r>
        <w:rPr>
          <w:b/>
          <w:sz w:val="22"/>
        </w:rPr>
        <w:t>分析：</w:t>
      </w:r>
    </w:p>
    <w:p>
      <w:pPr>
        <w:spacing w:line="360" w:lineRule="auto"/>
      </w:pPr>
      <w:r>
        <w:rPr>
          <w:sz w:val="22"/>
        </w:rPr>
        <w:t>派驻人员的考勤、考评、工作安排受医院科室直接管理，实际是双向管理关系。若科室负责人更换或管理风格变化，人员管理成本可能上升。</w:t>
      </w:r>
    </w:p>
    <w:p>
      <w:r>
        <w:rPr>
          <w:b/>
          <w:sz w:val="22"/>
        </w:rPr>
        <w:t>建议：</w:t>
      </w:r>
    </w:p>
    <w:p>
      <w:pPr>
        <w:spacing w:line="360" w:lineRule="auto"/>
      </w:pPr>
      <w:r>
        <w:rPr>
          <w:sz w:val="22"/>
        </w:rPr>
        <w:t>增加"派驻人员的管理以乙方为主，甲方科室日常协调为辅"的表述，明确劳动人事关系归属乙方。</w:t>
      </w:r>
    </w:p>
    <w:p>
      <w:pPr>
        <w:spacing w:before="200" w:after="120" w:line="360" w:lineRule="auto"/>
      </w:pPr>
      <w:r>
        <w:rPr>
          <w:b/>
          <w:color w:val="006699"/>
          <w:sz w:val="24"/>
        </w:rPr>
        <w:t>风险9 — 系统对接费用无限责任（第16.8条）</w:t>
      </w:r>
    </w:p>
    <w:p>
      <w:r>
        <w:rPr>
          <w:b/>
          <w:sz w:val="22"/>
        </w:rPr>
        <w:t>原文：</w:t>
      </w:r>
    </w:p>
    <w:p>
      <w:pPr>
        <w:ind w:left="567"/>
      </w:pPr>
      <w:r>
        <w:rPr>
          <w:i/>
          <w:color w:val="505050"/>
          <w:sz w:val="20"/>
        </w:rPr>
        <w:t>乙方软件信息系统接口免费开放；承担本项目系统与院方互联网医院咨询、预约及健康宣教功能系统对接的所有费用。</w:t>
      </w:r>
    </w:p>
    <w:p>
      <w:r>
        <w:rPr>
          <w:b/>
          <w:sz w:val="22"/>
        </w:rPr>
        <w:t>分析：</w:t>
      </w:r>
    </w:p>
    <w:p>
      <w:pPr>
        <w:spacing w:line="360" w:lineRule="auto"/>
      </w:pPr>
      <w:r>
        <w:rPr>
          <w:sz w:val="22"/>
        </w:rPr>
        <w:t>"承担所有费用"未设上限。若医院系统老旧或需要多轮对接改造，费用可能超出预期。</w:t>
      </w:r>
    </w:p>
    <w:p>
      <w:r>
        <w:rPr>
          <w:b/>
          <w:sz w:val="22"/>
        </w:rPr>
        <w:t>建议：</w:t>
      </w:r>
    </w:p>
    <w:p>
      <w:pPr>
        <w:spacing w:line="360" w:lineRule="auto"/>
      </w:pPr>
      <w:r>
        <w:rPr>
          <w:sz w:val="22"/>
        </w:rPr>
        <w:t>修改为"乙方承担合理的系统对接开发费用，总额不超过¥___元。超出部分由双方另行协商。"</w:t>
      </w:r>
    </w:p>
    <w:p>
      <w:pPr>
        <w:spacing w:before="200" w:after="120" w:line="360" w:lineRule="auto"/>
      </w:pPr>
      <w:r>
        <w:rPr>
          <w:b/>
          <w:color w:val="006699"/>
          <w:sz w:val="24"/>
        </w:rPr>
        <w:t>风险10 — 所有成本包死（第2.3条）</w:t>
      </w:r>
    </w:p>
    <w:p>
      <w:r>
        <w:rPr>
          <w:b/>
          <w:sz w:val="22"/>
        </w:rPr>
        <w:t>分析：</w:t>
      </w:r>
    </w:p>
    <w:p>
      <w:pPr>
        <w:spacing w:line="360" w:lineRule="auto"/>
      </w:pPr>
      <w:r>
        <w:rPr>
          <w:sz w:val="22"/>
        </w:rPr>
        <w:t>人员工资、社保、物价、税率波动全部乙方消化，合同期内不调。12个月的合同周期内如果CPI持续上涨，利润将被压缩。</w:t>
      </w:r>
    </w:p>
    <w:p>
      <w:r>
        <w:rPr>
          <w:b/>
          <w:sz w:val="22"/>
        </w:rPr>
        <w:t>建议：</w:t>
      </w:r>
    </w:p>
    <w:p>
      <w:pPr>
        <w:spacing w:line="360" w:lineRule="auto"/>
      </w:pPr>
      <w:r>
        <w:rPr>
          <w:sz w:val="22"/>
        </w:rPr>
        <w:t>增加一条：合同期满续签时，服务价格应根据CPI指数或行业工资涨幅进行合理调整。</w:t>
      </w:r>
    </w:p>
    <w:p>
      <w:pPr>
        <w:spacing w:before="200" w:after="120" w:line="360" w:lineRule="auto"/>
      </w:pPr>
      <w:r>
        <w:rPr>
          <w:b/>
          <w:color w:val="006699"/>
          <w:sz w:val="24"/>
        </w:rPr>
        <w:t>风险11 — 管辖法院在甲方所在地（第9.1条）</w:t>
      </w:r>
    </w:p>
    <w:p>
      <w:r>
        <w:rPr>
          <w:b/>
          <w:sz w:val="22"/>
        </w:rPr>
        <w:t>原文：</w:t>
      </w:r>
    </w:p>
    <w:p>
      <w:pPr>
        <w:ind w:left="567"/>
      </w:pPr>
      <w:r>
        <w:rPr>
          <w:i/>
          <w:color w:val="505050"/>
          <w:sz w:val="20"/>
        </w:rPr>
        <w:t>可向甲方所在地顺德区人民法院提起诉讼解决争议。</w:t>
      </w:r>
    </w:p>
    <w:p>
      <w:r>
        <w:rPr>
          <w:b/>
          <w:sz w:val="22"/>
        </w:rPr>
        <w:t>分析：</w:t>
      </w:r>
    </w:p>
    <w:p>
      <w:pPr>
        <w:spacing w:line="360" w:lineRule="auto"/>
      </w:pPr>
      <w:r>
        <w:rPr>
          <w:sz w:val="22"/>
        </w:rPr>
        <w:t>乙方若不在顺德区，打官司要去对方地盘，诉讼成本增加。但对于医院类合同这是行业惯例，且甲方是公立医院，谈判空间有限。</w:t>
      </w:r>
    </w:p>
    <w:p>
      <w:r>
        <w:rPr>
          <w:b/>
          <w:sz w:val="22"/>
        </w:rPr>
        <w:t>建议：</w:t>
      </w:r>
    </w:p>
    <w:p>
      <w:pPr>
        <w:spacing w:line="360" w:lineRule="auto"/>
      </w:pPr>
      <w:r>
        <w:rPr>
          <w:sz w:val="22"/>
        </w:rPr>
        <w:t>如乙方在广州，可尝试争取"在乙方所在地法院"或"在合同履行地（顺德区）"之间的选择权。</w:t>
      </w:r>
    </w:p>
    <w:p>
      <w:pPr>
        <w:spacing w:before="280" w:after="120" w:line="360" w:lineRule="auto"/>
      </w:pPr>
      <w:r>
        <w:rPr>
          <w:b/>
          <w:color w:val="004C80"/>
          <w:sz w:val="30"/>
        </w:rPr>
        <w:t>三、格式与细节问题</w:t>
      </w:r>
    </w:p>
    <w:p>
      <w:r>
        <w:rPr>
          <w:b/>
          <w:sz w:val="22"/>
        </w:rPr>
        <w:t>1. 合同份数（第13.2条）——甲方持4份、乙方持1份，比例悬殊。建议改为甲乙双方各持2份（共4份），增加1份备存。</w:t>
      </w:r>
    </w:p>
    <w:p>
      <w:r>
        <w:rPr>
          <w:b/>
          <w:sz w:val="22"/>
        </w:rPr>
        <w:t>2. 评审鉴定费垫付（第18.3条）——"鉴定费用由乙方垫付"虽然常见，但建议改为"先由申请方垫付，最终由责任方承担"。</w:t>
      </w:r>
    </w:p>
    <w:p>
      <w:pPr>
        <w:spacing w:line="360" w:lineRule="auto"/>
      </w:pPr>
      <w:r>
        <w:rPr>
          <w:sz w:val="22"/>
        </w:rPr>
        <w:t>3. 考核投诉处理（第17.1条）——48小时内完成处置，对于需要跨部门协调的复杂投诉可能不够，建议改为"48小时内提出处置方案，15个工作日内完成处置"。</w:t>
      </w:r>
    </w:p>
    <w:p>
      <w:r>
        <w:rPr>
          <w:b/>
          <w:sz w:val="22"/>
        </w:rPr>
        <w:t>4. 附件一《服务包列表》中的价格——目前标注"以最后成功备案的自主定价价格为准"，应明确备案周期和未按时备案的责任归属。</w:t>
      </w:r>
    </w:p>
    <w:p>
      <w:pPr>
        <w:spacing w:before="280" w:after="120" w:line="360" w:lineRule="auto"/>
      </w:pPr>
      <w:r>
        <w:rPr>
          <w:b/>
          <w:color w:val="004C80"/>
          <w:sz w:val="30"/>
        </w:rPr>
        <w:t>四、谈判优先级建议</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6E4F0"/>
          </w:tcPr>
          <w:p>
            <w:r/>
            <w:r>
              <w:rPr>
                <w:b/>
                <w:sz w:val="20"/>
              </w:rPr>
              <w:t>优先级</w:t>
            </w:r>
          </w:p>
        </w:tc>
        <w:tc>
          <w:tcPr>
            <w:tcW w:type="dxa" w:w="2882"/>
            <w:shd w:val="clear" w:color="auto" w:fill="D6E4F0"/>
          </w:tcPr>
          <w:p>
            <w:r/>
            <w:r>
              <w:rPr>
                <w:b/>
                <w:sz w:val="20"/>
              </w:rPr>
              <w:t>事项</w:t>
            </w:r>
          </w:p>
        </w:tc>
        <w:tc>
          <w:tcPr>
            <w:tcW w:type="dxa" w:w="2882"/>
            <w:shd w:val="clear" w:color="auto" w:fill="D6E4F0"/>
          </w:tcPr>
          <w:p>
            <w:r/>
            <w:r>
              <w:rPr>
                <w:b/>
                <w:sz w:val="20"/>
              </w:rPr>
              <w:t>理由</w:t>
            </w:r>
          </w:p>
        </w:tc>
      </w:tr>
      <w:tr>
        <w:tc>
          <w:tcPr>
            <w:tcW w:type="dxa" w:w="2882"/>
          </w:tcPr>
          <w:p>
            <w:r/>
            <w:r>
              <w:rPr>
                <w:sz w:val="20"/>
              </w:rPr>
              <w:t>🔴 第一优先</w:t>
            </w:r>
          </w:p>
        </w:tc>
        <w:tc>
          <w:tcPr>
            <w:tcW w:type="dxa" w:w="2882"/>
          </w:tcPr>
          <w:p>
            <w:r/>
            <w:r>
              <w:rPr>
                <w:sz w:val="20"/>
              </w:rPr>
              <w:t>"最后自主定价价格"定义</w:t>
            </w:r>
          </w:p>
        </w:tc>
        <w:tc>
          <w:tcPr>
            <w:tcW w:type="dxa" w:w="2882"/>
          </w:tcPr>
          <w:p>
            <w:r/>
            <w:r>
              <w:rPr>
                <w:sz w:val="20"/>
              </w:rPr>
              <w:t>直接影响全部收入</w:t>
            </w:r>
          </w:p>
        </w:tc>
      </w:tr>
      <w:tr>
        <w:tc>
          <w:tcPr>
            <w:tcW w:type="dxa" w:w="2882"/>
            <w:shd w:val="clear" w:color="auto" w:fill="F2F7FB"/>
          </w:tcPr>
          <w:p>
            <w:r/>
            <w:r>
              <w:rPr>
                <w:sz w:val="20"/>
              </w:rPr>
              <w:t>🔴 第一优先</w:t>
            </w:r>
          </w:p>
        </w:tc>
        <w:tc>
          <w:tcPr>
            <w:tcW w:type="dxa" w:w="2882"/>
            <w:shd w:val="clear" w:color="auto" w:fill="F2F7FB"/>
          </w:tcPr>
          <w:p>
            <w:r/>
            <w:r>
              <w:rPr>
                <w:sz w:val="20"/>
              </w:rPr>
              <w:t>履约保证金降为5%或保函</w:t>
            </w:r>
          </w:p>
        </w:tc>
        <w:tc>
          <w:tcPr>
            <w:tcW w:type="dxa" w:w="2882"/>
            <w:shd w:val="clear" w:color="auto" w:fill="F2F7FB"/>
          </w:tcPr>
          <w:p>
            <w:r/>
            <w:r>
              <w:rPr>
                <w:sz w:val="20"/>
              </w:rPr>
              <w:t>现金流压力</w:t>
            </w:r>
          </w:p>
        </w:tc>
      </w:tr>
      <w:tr>
        <w:tc>
          <w:tcPr>
            <w:tcW w:type="dxa" w:w="2882"/>
          </w:tcPr>
          <w:p>
            <w:r/>
            <w:r>
              <w:rPr>
                <w:sz w:val="20"/>
              </w:rPr>
              <w:t>🟡 第二优先</w:t>
            </w:r>
          </w:p>
        </w:tc>
        <w:tc>
          <w:tcPr>
            <w:tcW w:type="dxa" w:w="2882"/>
          </w:tcPr>
          <w:p>
            <w:r/>
            <w:r>
              <w:rPr>
                <w:sz w:val="20"/>
              </w:rPr>
              <w:t>42%固定折扣率/阶梯分成</w:t>
            </w:r>
          </w:p>
        </w:tc>
        <w:tc>
          <w:tcPr>
            <w:tcW w:type="dxa" w:w="2882"/>
          </w:tcPr>
          <w:p>
            <w:r/>
            <w:r>
              <w:rPr>
                <w:sz w:val="20"/>
              </w:rPr>
              <w:t>影响超额收益</w:t>
            </w:r>
          </w:p>
        </w:tc>
      </w:tr>
      <w:tr>
        <w:tc>
          <w:tcPr>
            <w:tcW w:type="dxa" w:w="2882"/>
            <w:shd w:val="clear" w:color="auto" w:fill="F2F7FB"/>
          </w:tcPr>
          <w:p>
            <w:r/>
            <w:r>
              <w:rPr>
                <w:sz w:val="20"/>
              </w:rPr>
              <w:t>🟡 第二优先</w:t>
            </w:r>
          </w:p>
        </w:tc>
        <w:tc>
          <w:tcPr>
            <w:tcW w:type="dxa" w:w="2882"/>
            <w:shd w:val="clear" w:color="auto" w:fill="F2F7FB"/>
          </w:tcPr>
          <w:p>
            <w:r/>
            <w:r>
              <w:rPr>
                <w:sz w:val="20"/>
              </w:rPr>
              <w:t>财政拨付免责条款</w:t>
            </w:r>
          </w:p>
        </w:tc>
        <w:tc>
          <w:tcPr>
            <w:tcW w:type="dxa" w:w="2882"/>
            <w:shd w:val="clear" w:color="auto" w:fill="F2F7FB"/>
          </w:tcPr>
          <w:p>
            <w:r/>
            <w:r>
              <w:rPr>
                <w:sz w:val="20"/>
              </w:rPr>
              <w:t>回款周期风险</w:t>
            </w:r>
          </w:p>
        </w:tc>
      </w:tr>
      <w:tr>
        <w:tc>
          <w:tcPr>
            <w:tcW w:type="dxa" w:w="2882"/>
          </w:tcPr>
          <w:p>
            <w:r/>
            <w:r>
              <w:rPr>
                <w:sz w:val="20"/>
              </w:rPr>
              <w:t>🟢 第三优先</w:t>
            </w:r>
          </w:p>
        </w:tc>
        <w:tc>
          <w:tcPr>
            <w:tcW w:type="dxa" w:w="2882"/>
          </w:tcPr>
          <w:p>
            <w:r/>
            <w:r>
              <w:rPr>
                <w:sz w:val="20"/>
              </w:rPr>
              <w:t>响应时限、设备丧失条款等</w:t>
            </w:r>
          </w:p>
        </w:tc>
        <w:tc>
          <w:tcPr>
            <w:tcW w:type="dxa" w:w="2882"/>
          </w:tcPr>
          <w:p>
            <w:r/>
            <w:r>
              <w:rPr>
                <w:sz w:val="20"/>
              </w:rPr>
              <w:t>操作层面问题</w:t>
            </w:r>
          </w:p>
        </w:tc>
      </w:tr>
    </w:tbl>
    <w:p/>
    <w:p>
      <w:pPr>
        <w:spacing w:line="360" w:lineRule="auto"/>
      </w:pPr>
      <w:r>
        <w:rPr>
          <w:sz w:val="22"/>
        </w:rPr>
        <w:t>*本意见书基于合同原文分析，不构成法律意见。建议乙方在签署前咨询专业律师。*</w:t>
      </w:r>
    </w:p>
    <w:p>
      <w:pPr>
        <w:spacing w:line="360" w:lineRule="auto"/>
      </w:pPr>
      <w:r>
        <w:rPr>
          <w:sz w:val="22"/>
        </w:rPr>
        <w:t>文档版本：v1.0｜审阅日期：2026-06-10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