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A478A"/>
          <w:sz w:val="40"/>
        </w:rPr>
        <w:t>深圳数据交易所 · 数据产权登记（初次登记）逐栏答案稿</w:t>
      </w:r>
    </w:p>
    <w:p>
      <w:pPr>
        <w:spacing w:after="120" w:line="336" w:lineRule="auto"/>
      </w:pPr>
      <w:r>
        <w:rPr>
          <w:rFonts w:ascii="微软雅黑" w:hAnsi="微软雅黑" w:eastAsia="微软雅黑"/>
        </w:rPr>
        <w:t>企业：广州圆爱康生物科技有限公司</w:t>
      </w:r>
    </w:p>
    <w:p>
      <w:pPr>
        <w:spacing w:after="120" w:line="336" w:lineRule="auto"/>
      </w:pPr>
      <w:r>
        <w:rPr>
          <w:rFonts w:ascii="微软雅黑" w:hAnsi="微软雅黑" w:eastAsia="微软雅黑"/>
        </w:rPr>
        <w:t>统一社会信用代码：91440101MA5CBEHG5D</w:t>
      </w:r>
    </w:p>
    <w:p>
      <w:pPr>
        <w:spacing w:after="120" w:line="336" w:lineRule="auto"/>
      </w:pPr>
      <w:r>
        <w:rPr>
          <w:rFonts w:ascii="微软雅黑" w:hAnsi="微软雅黑" w:eastAsia="微软雅黑"/>
        </w:rPr>
        <w:t>编制：云端小鲸鱼 · 2026-09-29</w:t>
      </w:r>
    </w:p>
    <w:p>
      <w:pPr>
        <w:spacing w:after="120" w:line="336" w:lineRule="auto"/>
      </w:pPr>
      <w:r>
        <w:rPr>
          <w:rFonts w:ascii="微软雅黑" w:hAnsi="微软雅黑" w:eastAsia="微软雅黑"/>
        </w:rPr>
        <w:t>用途：对照深圳数据交易所登记工作台「产权信息」等页面逐栏填写，可直接复制粘贴</w:t>
      </w:r>
    </w:p>
    <w:p>
      <w:pPr>
        <w:spacing w:before="160" w:after="160"/>
      </w:pPr>
      <w:r>
        <w:rPr>
          <w:color w:val="BBBBBB"/>
          <w:sz w:val="16"/>
        </w:rPr>
        <w:t>──────────────────────────────────────────────────────────</w:t>
      </w:r>
    </w:p>
    <w:p>
      <w:pPr>
        <w:pStyle w:val="Heading2"/>
      </w:pPr>
      <w:r>
        <w:rPr>
          <w:rFonts w:ascii="微软雅黑" w:hAnsi="微软雅黑" w:eastAsia="微软雅黑"/>
          <w:color w:val="1A478A"/>
          <w:sz w:val="30"/>
        </w:rPr>
        <w:t>使用说明</w:t>
      </w:r>
    </w:p>
    <w:p>
      <w:pPr>
        <w:spacing w:after="120" w:line="336" w:lineRule="auto"/>
      </w:pPr>
      <w:r>
        <w:rPr>
          <w:rFonts w:ascii="微软雅黑" w:hAnsi="微软雅黑" w:eastAsia="微软雅黑"/>
        </w:rPr>
        <w:t>本稿按平台真实栏目顺序排列。每一栏给出两样东西：</w:t>
      </w:r>
    </w:p>
    <w:p>
      <w:pPr>
        <w:pStyle w:val="ListBullet"/>
        <w:spacing w:after="60"/>
      </w:pPr>
      <w:r>
        <w:rPr>
          <w:rFonts w:ascii="微软雅黑" w:hAnsi="微软雅黑" w:eastAsia="微软雅黑"/>
        </w:rPr>
        <w:t>【照抄】可直接复制粘贴进平台的答案</w:t>
      </w:r>
    </w:p>
    <w:p>
      <w:pPr>
        <w:pStyle w:val="ListBullet"/>
        <w:spacing w:after="60"/>
      </w:pPr>
      <w:r>
        <w:rPr>
          <w:rFonts w:ascii="微软雅黑" w:hAnsi="微软雅黑" w:eastAsia="微软雅黑"/>
        </w:rPr>
        <w:t>【理由】评审若追问时的说明依据</w:t>
      </w:r>
    </w:p>
    <w:p>
      <w:pPr>
        <w:spacing w:after="120" w:line="336" w:lineRule="auto"/>
      </w:pPr>
      <w:r>
        <w:rPr>
          <w:rFonts w:ascii="微软雅黑" w:hAnsi="微软雅黑" w:eastAsia="微软雅黑"/>
        </w:rPr>
        <w:t>本次覆盖范围：平台「产权信息」三步（数据持有权 / 数据使用权 / 数据经营权）中的权利期限与权利限制，及数据处理行为说明、应用场景说明、限制或禁止使用场景说明、质押状态。其余屏（1/6 的后续 5 屏、第 1 步基本信息、第 3 步附件材料）待补充截图后另行填写。</w:t>
      </w:r>
    </w:p>
    <w:p>
      <w:pPr>
        <w:spacing w:before="160" w:after="160"/>
      </w:pPr>
      <w:r>
        <w:rPr>
          <w:color w:val="BBBBBB"/>
          <w:sz w:val="16"/>
        </w:rPr>
        <w:t>──────────────────────────────────────────────────────────</w:t>
      </w:r>
    </w:p>
    <w:p>
      <w:pPr>
        <w:pStyle w:val="Heading2"/>
      </w:pPr>
      <w:r>
        <w:rPr>
          <w:rFonts w:ascii="微软雅黑" w:hAnsi="微软雅黑" w:eastAsia="微软雅黑"/>
          <w:color w:val="1A478A"/>
          <w:sz w:val="30"/>
        </w:rPr>
        <w:t>一、产权信息 —— 数据持有权</w:t>
      </w:r>
    </w:p>
    <w:p>
      <w:pPr>
        <w:pStyle w:val="Heading3"/>
      </w:pPr>
      <w:r>
        <w:rPr>
          <w:rFonts w:ascii="微软雅黑" w:hAnsi="微软雅黑" w:eastAsia="微软雅黑"/>
          <w:color w:val="2D5F9E"/>
          <w:sz w:val="26"/>
        </w:rPr>
        <w:t>1. 登记主体（平台已预填）</w:t>
      </w:r>
    </w:p>
    <w:p>
      <w:pPr>
        <w:spacing w:after="120" w:line="336" w:lineRule="auto"/>
      </w:pPr>
      <w:r>
        <w:rPr>
          <w:rFonts w:ascii="微软雅黑" w:hAnsi="微软雅黑" w:eastAsia="微软雅黑"/>
        </w:rPr>
        <w:t>【照抄】广州圆爱康生物科技有限公司</w:t>
      </w:r>
    </w:p>
    <w:p>
      <w:pPr>
        <w:spacing w:after="120" w:line="336" w:lineRule="auto"/>
      </w:pPr>
      <w:r>
        <w:rPr>
          <w:rFonts w:ascii="微软雅黑" w:hAnsi="微软雅黑" w:eastAsia="微软雅黑"/>
        </w:rPr>
        <w:t>【说明】与营业执照一致。图上显示的"广州国密宝生物科技有限公司"为系统示例灰字，非实际登记主体，不予采用。</w:t>
      </w:r>
    </w:p>
    <w:p>
      <w:pPr>
        <w:pStyle w:val="Heading3"/>
      </w:pPr>
      <w:r>
        <w:rPr>
          <w:rFonts w:ascii="微软雅黑" w:hAnsi="微软雅黑" w:eastAsia="微软雅黑"/>
          <w:color w:val="2D5F9E"/>
          <w:sz w:val="26"/>
        </w:rPr>
        <w:t>2. 统一社会信用代码（平台已预填）</w:t>
      </w:r>
    </w:p>
    <w:p>
      <w:pPr>
        <w:spacing w:after="120" w:line="336" w:lineRule="auto"/>
      </w:pPr>
      <w:r>
        <w:rPr>
          <w:rFonts w:ascii="微软雅黑" w:hAnsi="微软雅黑" w:eastAsia="微软雅黑"/>
        </w:rPr>
        <w:t>【照抄】91440101MA5CBEHG5D</w:t>
      </w:r>
    </w:p>
    <w:p>
      <w:pPr>
        <w:pStyle w:val="Heading3"/>
      </w:pPr>
      <w:r>
        <w:rPr>
          <w:rFonts w:ascii="微软雅黑" w:hAnsi="微软雅黑" w:eastAsia="微软雅黑"/>
          <w:color w:val="2D5F9E"/>
          <w:sz w:val="26"/>
        </w:rPr>
        <w:t>3. 权利期限（必填）</w:t>
      </w:r>
    </w:p>
    <w:p>
      <w:pPr>
        <w:spacing w:after="120" w:line="336" w:lineRule="auto"/>
      </w:pPr>
      <w:r>
        <w:rPr>
          <w:rFonts w:ascii="微软雅黑" w:hAnsi="微软雅黑" w:eastAsia="微软雅黑"/>
        </w:rPr>
        <w:t>【照抄】</w:t>
      </w:r>
    </w:p>
    <w:p>
      <w:pPr>
        <w:pStyle w:val="ListBullet"/>
        <w:spacing w:after="60"/>
      </w:pPr>
      <w:r>
        <w:rPr>
          <w:rFonts w:ascii="微软雅黑" w:hAnsi="微软雅黑" w:eastAsia="微软雅黑"/>
        </w:rPr>
        <w:t>开始日期：2022-11-01</w:t>
      </w:r>
    </w:p>
    <w:p>
      <w:pPr>
        <w:pStyle w:val="ListBullet"/>
        <w:spacing w:after="60"/>
      </w:pPr>
      <w:r>
        <w:rPr>
          <w:rFonts w:ascii="微软雅黑" w:hAnsi="微软雅黑" w:eastAsia="微软雅黑"/>
        </w:rPr>
        <w:t>结束日期：2032-11-01</w:t>
      </w:r>
    </w:p>
    <w:p>
      <w:pPr>
        <w:pStyle w:val="ListBullet"/>
        <w:spacing w:after="60"/>
      </w:pPr>
      <w:r>
        <w:rPr>
          <w:rFonts w:ascii="微软雅黑" w:hAnsi="微软雅黑" w:eastAsia="微软雅黑"/>
        </w:rPr>
        <w:t>不勾选"长期有效"</w:t>
      </w:r>
    </w:p>
    <w:p>
      <w:pPr>
        <w:spacing w:after="120" w:line="336" w:lineRule="auto"/>
      </w:pPr>
      <w:r>
        <w:rPr>
          <w:rFonts w:ascii="微软雅黑" w:hAnsi="微软雅黑" w:eastAsia="微软雅黑"/>
        </w:rPr>
        <w:t>【理由】本数据集所依托的业务系统自2022年11月上线并持续运行，数据完整连续、无断档。权利期限起算日取系统上线并产生首条数据之月；结束日按10年设定，与登记凭证五年有效期规则相容且留有余量。不勾选"长期有效"，因本数据集的持续采集依赖实际业务运行，以明确期限表述更为严谨。</w:t>
      </w:r>
    </w:p>
    <w:p>
      <w:pPr>
        <w:pStyle w:val="Heading3"/>
      </w:pPr>
      <w:r>
        <w:rPr>
          <w:rFonts w:ascii="微软雅黑" w:hAnsi="微软雅黑" w:eastAsia="微软雅黑"/>
          <w:color w:val="2D5F9E"/>
          <w:sz w:val="26"/>
        </w:rPr>
        <w:t>4. 权利限制（必填，≤300字）</w:t>
      </w:r>
    </w:p>
    <w:p>
      <w:pPr>
        <w:spacing w:after="120" w:line="336" w:lineRule="auto"/>
      </w:pPr>
      <w:r>
        <w:rPr>
          <w:rFonts w:ascii="微软雅黑" w:hAnsi="微软雅黑" w:eastAsia="微软雅黑"/>
        </w:rPr>
        <w:t>【照抄】</w:t>
      </w:r>
    </w:p>
    <w:p>
      <w:pPr>
        <w:spacing w:after="120" w:line="336" w:lineRule="auto"/>
      </w:pPr>
      <w:r>
        <w:rPr>
          <w:rFonts w:ascii="微软雅黑" w:hAnsi="微软雅黑" w:eastAsia="微软雅黑"/>
        </w:rPr>
        <w:t>1.数据仅限圆爱康自营居家康复服务过程中产生的技术与服务过程数据，不含可识别个人身份的信息，使用者身份以系统编码（uid）形式记录。</w:t>
      </w:r>
    </w:p>
    <w:p>
      <w:pPr>
        <w:spacing w:after="120" w:line="336" w:lineRule="auto"/>
      </w:pPr>
      <w:r>
        <w:rPr>
          <w:rFonts w:ascii="微软雅黑" w:hAnsi="微软雅黑" w:eastAsia="微软雅黑"/>
        </w:rPr>
        <w:t>2.数据存放于中国境内云平台，不向境外传输、不出境。</w:t>
      </w:r>
    </w:p>
    <w:p>
      <w:pPr>
        <w:spacing w:after="120" w:line="336" w:lineRule="auto"/>
      </w:pPr>
      <w:r>
        <w:rPr>
          <w:rFonts w:ascii="微软雅黑" w:hAnsi="微软雅黑" w:eastAsia="微软雅黑"/>
        </w:rPr>
        <w:t>3.不包含合作医疗机构产生的诊疗记录（诊断、处方医嘱、病历），该部分权属归医疗机构，不在本数据集范围。</w:t>
      </w:r>
    </w:p>
    <w:p>
      <w:pPr>
        <w:spacing w:after="120" w:line="336" w:lineRule="auto"/>
      </w:pPr>
      <w:r>
        <w:rPr>
          <w:rFonts w:ascii="微软雅黑" w:hAnsi="微软雅黑" w:eastAsia="微软雅黑"/>
        </w:rPr>
        <w:t>4.数据仅用于居家康复服务协同、康复效果评估及科研分析，不得用于对外商业营销。</w:t>
      </w:r>
    </w:p>
    <w:p>
      <w:pPr>
        <w:spacing w:after="120" w:line="336" w:lineRule="auto"/>
      </w:pPr>
      <w:r>
        <w:rPr>
          <w:rFonts w:ascii="微软雅黑" w:hAnsi="微软雅黑" w:eastAsia="微软雅黑"/>
        </w:rPr>
        <w:t>【字数】约230字</w:t>
      </w:r>
    </w:p>
    <w:p>
      <w:pPr>
        <w:spacing w:after="120" w:line="336" w:lineRule="auto"/>
      </w:pPr>
      <w:r>
        <w:rPr>
          <w:rFonts w:ascii="微软雅黑" w:hAnsi="微软雅黑" w:eastAsia="微软雅黑"/>
        </w:rPr>
        <w:t>【理由】填具体限制而非填"无"，体现数据管理体系成熟度。限制项覆盖个人信息边界、地域边界、权属边界与用途边界四个维度。</w:t>
      </w:r>
    </w:p>
    <w:p>
      <w:pPr>
        <w:pStyle w:val="Heading3"/>
      </w:pPr>
      <w:r>
        <w:rPr>
          <w:rFonts w:ascii="微软雅黑" w:hAnsi="微软雅黑" w:eastAsia="微软雅黑"/>
          <w:color w:val="2D5F9E"/>
          <w:sz w:val="26"/>
        </w:rPr>
        <w:t>5. 持有权证明文件（必填，上传）</w:t>
      </w:r>
    </w:p>
    <w:p>
      <w:pPr>
        <w:spacing w:after="120" w:line="336" w:lineRule="auto"/>
      </w:pPr>
      <w:r>
        <w:rPr>
          <w:rFonts w:ascii="微软雅黑" w:hAnsi="微软雅黑" w:eastAsia="微软雅黑"/>
        </w:rPr>
        <w:t>【待补】本栏要求上传反映数据来源的证明材料及实际持有/控制证明。具体文件清单见本稿第六部分《证明材料清单》。</w:t>
      </w:r>
    </w:p>
    <w:p>
      <w:pPr>
        <w:spacing w:before="160" w:after="160"/>
      </w:pPr>
      <w:r>
        <w:rPr>
          <w:color w:val="BBBBBB"/>
          <w:sz w:val="16"/>
        </w:rPr>
        <w:t>──────────────────────────────────────────────────────────</w:t>
      </w:r>
    </w:p>
    <w:p>
      <w:pPr>
        <w:pStyle w:val="Heading2"/>
      </w:pPr>
      <w:r>
        <w:rPr>
          <w:rFonts w:ascii="微软雅黑" w:hAnsi="微软雅黑" w:eastAsia="微软雅黑"/>
          <w:color w:val="1A478A"/>
          <w:sz w:val="30"/>
        </w:rPr>
        <w:t>二、产权信息 —— 数据使用权</w:t>
      </w:r>
    </w:p>
    <w:p>
      <w:pPr>
        <w:pStyle w:val="Heading3"/>
      </w:pPr>
      <w:r>
        <w:rPr>
          <w:rFonts w:ascii="微软雅黑" w:hAnsi="微软雅黑" w:eastAsia="微软雅黑"/>
          <w:color w:val="2D5F9E"/>
          <w:sz w:val="26"/>
        </w:rPr>
        <w:t>6. 权利期限（必填）</w:t>
      </w:r>
    </w:p>
    <w:p>
      <w:pPr>
        <w:spacing w:after="120" w:line="336" w:lineRule="auto"/>
      </w:pPr>
      <w:r>
        <w:rPr>
          <w:rFonts w:ascii="微软雅黑" w:hAnsi="微软雅黑" w:eastAsia="微软雅黑"/>
        </w:rPr>
        <w:t>【照抄】</w:t>
      </w:r>
    </w:p>
    <w:p>
      <w:pPr>
        <w:pStyle w:val="ListBullet"/>
        <w:spacing w:after="60"/>
      </w:pPr>
      <w:r>
        <w:rPr>
          <w:rFonts w:ascii="微软雅黑" w:hAnsi="微软雅黑" w:eastAsia="微软雅黑"/>
        </w:rPr>
        <w:t>开始日期：2022-11-01</w:t>
      </w:r>
    </w:p>
    <w:p>
      <w:pPr>
        <w:pStyle w:val="ListBullet"/>
        <w:spacing w:after="60"/>
      </w:pPr>
      <w:r>
        <w:rPr>
          <w:rFonts w:ascii="微软雅黑" w:hAnsi="微软雅黑" w:eastAsia="微软雅黑"/>
        </w:rPr>
        <w:t>结束日期：2032-11-01</w:t>
      </w:r>
    </w:p>
    <w:p>
      <w:pPr>
        <w:pStyle w:val="ListBullet"/>
        <w:spacing w:after="60"/>
      </w:pPr>
      <w:r>
        <w:rPr>
          <w:rFonts w:ascii="微软雅黑" w:hAnsi="微软雅黑" w:eastAsia="微软雅黑"/>
        </w:rPr>
        <w:t>不勾选"长期有效"</w:t>
      </w:r>
    </w:p>
    <w:p>
      <w:pPr>
        <w:spacing w:after="120" w:line="336" w:lineRule="auto"/>
      </w:pPr>
      <w:r>
        <w:rPr>
          <w:rFonts w:ascii="微软雅黑" w:hAnsi="微软雅黑" w:eastAsia="微软雅黑"/>
        </w:rPr>
        <w:t>【理由】与持有权期限保持一致。申请人为数据持有权人自身，权利来源同一，期限不宜分设。</w:t>
      </w:r>
    </w:p>
    <w:p>
      <w:pPr>
        <w:pStyle w:val="Heading3"/>
      </w:pPr>
      <w:r>
        <w:rPr>
          <w:rFonts w:ascii="微软雅黑" w:hAnsi="微软雅黑" w:eastAsia="微软雅黑"/>
          <w:color w:val="2D5F9E"/>
          <w:sz w:val="26"/>
        </w:rPr>
        <w:t>7. 权利限制（必填，≤300字）</w:t>
      </w:r>
    </w:p>
    <w:p>
      <w:pPr>
        <w:spacing w:after="120" w:line="336" w:lineRule="auto"/>
      </w:pPr>
      <w:r>
        <w:rPr>
          <w:rFonts w:ascii="微软雅黑" w:hAnsi="微软雅黑" w:eastAsia="微软雅黑"/>
        </w:rPr>
        <w:t>【照抄】</w:t>
      </w:r>
    </w:p>
    <w:p>
      <w:pPr>
        <w:spacing w:after="120" w:line="336" w:lineRule="auto"/>
      </w:pPr>
      <w:r>
        <w:rPr>
          <w:rFonts w:ascii="微软雅黑" w:hAnsi="微软雅黑" w:eastAsia="微软雅黑"/>
        </w:rPr>
        <w:t>1.使用范围限于居家康复服务协同、康复效果评估、服务质量改进及不涉及个人识别的科研分析。</w:t>
      </w:r>
    </w:p>
    <w:p>
      <w:pPr>
        <w:spacing w:after="120" w:line="336" w:lineRule="auto"/>
      </w:pPr>
      <w:r>
        <w:rPr>
          <w:rFonts w:ascii="微软雅黑" w:hAnsi="微软雅黑" w:eastAsia="微软雅黑"/>
        </w:rPr>
        <w:t>2.不得将数据用于对外商业营销、广告投放或用户画像。</w:t>
      </w:r>
    </w:p>
    <w:p>
      <w:pPr>
        <w:spacing w:after="120" w:line="336" w:lineRule="auto"/>
      </w:pPr>
      <w:r>
        <w:rPr>
          <w:rFonts w:ascii="微软雅黑" w:hAnsi="微软雅黑" w:eastAsia="微软雅黑"/>
        </w:rPr>
        <w:t>3.不得向第三方提供未经脱敏的原始数据。</w:t>
      </w:r>
    </w:p>
    <w:p>
      <w:pPr>
        <w:spacing w:after="120" w:line="336" w:lineRule="auto"/>
      </w:pPr>
      <w:r>
        <w:rPr>
          <w:rFonts w:ascii="微软雅黑" w:hAnsi="微软雅黑" w:eastAsia="微软雅黑"/>
        </w:rPr>
        <w:t>4.数据使用过程遵循最小必要原则，按岗位分级授权，操作留痕可追溯。</w:t>
      </w:r>
    </w:p>
    <w:p>
      <w:pPr>
        <w:spacing w:after="120" w:line="336" w:lineRule="auto"/>
      </w:pPr>
      <w:r>
        <w:rPr>
          <w:rFonts w:ascii="微软雅黑" w:hAnsi="微软雅黑" w:eastAsia="微软雅黑"/>
        </w:rPr>
        <w:t>5.数据经加工形成的衍生结果对外提供时，须以脱敏或汇总数据为限。</w:t>
      </w:r>
    </w:p>
    <w:p>
      <w:pPr>
        <w:spacing w:after="120" w:line="336" w:lineRule="auto"/>
      </w:pPr>
      <w:r>
        <w:rPr>
          <w:rFonts w:ascii="微软雅黑" w:hAnsi="微软雅黑" w:eastAsia="微软雅黑"/>
        </w:rPr>
        <w:t>【字数】约200字</w:t>
      </w:r>
    </w:p>
    <w:p>
      <w:pPr>
        <w:spacing w:after="120" w:line="336" w:lineRule="auto"/>
      </w:pPr>
      <w:r>
        <w:rPr>
          <w:rFonts w:ascii="微软雅黑" w:hAnsi="微软雅黑" w:eastAsia="微软雅黑"/>
        </w:rPr>
        <w:t>【理由】使用权限制侧重"用数据时须遵守什么"，与持有权限制（侧重占有/存储约束）形成互补。</w:t>
      </w:r>
    </w:p>
    <w:p>
      <w:pPr>
        <w:pStyle w:val="Heading3"/>
      </w:pPr>
      <w:r>
        <w:rPr>
          <w:rFonts w:ascii="微软雅黑" w:hAnsi="微软雅黑" w:eastAsia="微软雅黑"/>
          <w:color w:val="2D5F9E"/>
          <w:sz w:val="26"/>
        </w:rPr>
        <w:t>8. 使用权证明文件（必填，上传）</w:t>
      </w:r>
    </w:p>
    <w:p>
      <w:pPr>
        <w:spacing w:after="120" w:line="336" w:lineRule="auto"/>
      </w:pPr>
      <w:r>
        <w:rPr>
          <w:rFonts w:ascii="微软雅黑" w:hAnsi="微软雅黑" w:eastAsia="微软雅黑"/>
        </w:rPr>
        <w:t>【待补】申请人为数据持有权人自身，无需另行提供授权文件；仍需提供数据来源佐证材料。具体清单见第六部分。</w:t>
      </w:r>
    </w:p>
    <w:p>
      <w:pPr>
        <w:spacing w:before="160" w:after="160"/>
      </w:pPr>
      <w:r>
        <w:rPr>
          <w:color w:val="BBBBBB"/>
          <w:sz w:val="16"/>
        </w:rPr>
        <w:t>──────────────────────────────────────────────────────────</w:t>
      </w:r>
    </w:p>
    <w:p>
      <w:pPr>
        <w:pStyle w:val="Heading2"/>
      </w:pPr>
      <w:r>
        <w:rPr>
          <w:rFonts w:ascii="微软雅黑" w:hAnsi="微软雅黑" w:eastAsia="微软雅黑"/>
          <w:color w:val="1A478A"/>
          <w:sz w:val="30"/>
        </w:rPr>
        <w:t>三、产权信息 —— 数据经营权</w:t>
      </w:r>
    </w:p>
    <w:p>
      <w:pPr>
        <w:pStyle w:val="Heading3"/>
      </w:pPr>
      <w:r>
        <w:rPr>
          <w:rFonts w:ascii="微软雅黑" w:hAnsi="微软雅黑" w:eastAsia="微软雅黑"/>
          <w:color w:val="2D5F9E"/>
          <w:sz w:val="26"/>
        </w:rPr>
        <w:t>9. 权利期限（必填）</w:t>
      </w:r>
    </w:p>
    <w:p>
      <w:pPr>
        <w:spacing w:after="120" w:line="336" w:lineRule="auto"/>
      </w:pPr>
      <w:r>
        <w:rPr>
          <w:rFonts w:ascii="微软雅黑" w:hAnsi="微软雅黑" w:eastAsia="微软雅黑"/>
        </w:rPr>
        <w:t>【照抄】</w:t>
      </w:r>
    </w:p>
    <w:p>
      <w:pPr>
        <w:pStyle w:val="ListBullet"/>
        <w:spacing w:after="60"/>
      </w:pPr>
      <w:r>
        <w:rPr>
          <w:rFonts w:ascii="微软雅黑" w:hAnsi="微软雅黑" w:eastAsia="微软雅黑"/>
        </w:rPr>
        <w:t>开始日期：2022-11-01</w:t>
      </w:r>
    </w:p>
    <w:p>
      <w:pPr>
        <w:pStyle w:val="ListBullet"/>
        <w:spacing w:after="60"/>
      </w:pPr>
      <w:r>
        <w:rPr>
          <w:rFonts w:ascii="微软雅黑" w:hAnsi="微软雅黑" w:eastAsia="微软雅黑"/>
        </w:rPr>
        <w:t>结束日期：2032-11-01</w:t>
      </w:r>
    </w:p>
    <w:p>
      <w:pPr>
        <w:pStyle w:val="ListBullet"/>
        <w:spacing w:after="60"/>
      </w:pPr>
      <w:r>
        <w:rPr>
          <w:rFonts w:ascii="微软雅黑" w:hAnsi="微软雅黑" w:eastAsia="微软雅黑"/>
        </w:rPr>
        <w:t>不勾选"长期有效"</w:t>
      </w:r>
    </w:p>
    <w:p>
      <w:pPr>
        <w:spacing w:after="120" w:line="336" w:lineRule="auto"/>
      </w:pPr>
      <w:r>
        <w:rPr>
          <w:rFonts w:ascii="微软雅黑" w:hAnsi="微软雅黑" w:eastAsia="微软雅黑"/>
        </w:rPr>
        <w:t>【理由】三权期限统一，体系完整。</w:t>
      </w:r>
    </w:p>
    <w:p>
      <w:pPr>
        <w:spacing w:before="160" w:after="160"/>
      </w:pPr>
      <w:r>
        <w:rPr>
          <w:color w:val="BBBBBB"/>
          <w:sz w:val="16"/>
        </w:rPr>
        <w:t>──────────────────────────────────────────────────────────</w:t>
      </w:r>
    </w:p>
    <w:p>
      <w:pPr>
        <w:pStyle w:val="Heading2"/>
      </w:pPr>
      <w:r>
        <w:rPr>
          <w:rFonts w:ascii="微软雅黑" w:hAnsi="微软雅黑" w:eastAsia="微软雅黑"/>
          <w:color w:val="1A478A"/>
          <w:sz w:val="30"/>
        </w:rPr>
        <w:t>四、数据处理行为说明（必填，≤2000字）</w:t>
      </w:r>
    </w:p>
    <w:p>
      <w:pPr>
        <w:spacing w:after="120" w:line="336" w:lineRule="auto"/>
      </w:pPr>
      <w:r>
        <w:rPr>
          <w:rFonts w:ascii="微软雅黑" w:hAnsi="微软雅黑" w:eastAsia="微软雅黑"/>
        </w:rPr>
        <w:t>【照抄】</w:t>
      </w:r>
    </w:p>
    <w:p>
      <w:pPr>
        <w:spacing w:after="120" w:line="336" w:lineRule="auto"/>
      </w:pPr>
      <w:r>
        <w:rPr>
          <w:rFonts w:ascii="微软雅黑" w:hAnsi="微软雅黑" w:eastAsia="微软雅黑"/>
        </w:rPr>
        <w:t>本数据集为居家康复治疗与服务协同全过程数据，数据敏感程度涉及个人健康相关信息，已按与敏感程度相匹配的要求实施全流程处理措施。各环节实现方式与技术措施如下：</w:t>
      </w:r>
    </w:p>
    <w:p>
      <w:pPr>
        <w:spacing w:after="120" w:line="336" w:lineRule="auto"/>
      </w:pPr>
      <w:r>
        <w:rPr>
          <w:rFonts w:ascii="微软雅黑" w:hAnsi="微软雅黑" w:eastAsia="微软雅黑"/>
        </w:rPr>
        <w:t>一、数据采集环节。数据产生于患者真实居家场景，采用设备端与平台端双通道采集。患者使用圆爱康康复设备进行康复治疗时，设备通过蓝牙与物联网通道将治疗过程数据实时回传平台；多师服务团队通过圆爱康服务系统完成远程评估、方案调整与随访记录。采集环节即对个人身份进行去标识化处理，使用者身份以系统唯一编码（uid）形式记录，采集内容不含姓名、身份证号、联系方式等可直接识别个人身份的信息。采集行为以用户协议及知情同意为前提。</w:t>
      </w:r>
    </w:p>
    <w:p>
      <w:pPr>
        <w:spacing w:after="120" w:line="336" w:lineRule="auto"/>
      </w:pPr>
      <w:r>
        <w:rPr>
          <w:rFonts w:ascii="微软雅黑" w:hAnsi="微软雅黑" w:eastAsia="微软雅黑"/>
        </w:rPr>
        <w:t>二、数据存储环节。数据存储于中国境内通过国家信息安全等级保护三级测评的公有云平台，享有云平台侧三级等保安全保护。存储环节实施数据分类分级管理，按数据敏感程度划分存储与访问层级；实施数据加密存储，传输过程采用加密通道；实施数据备份与恢复机制，保障数据完整可用与可恢复。</w:t>
      </w:r>
    </w:p>
    <w:p>
      <w:pPr>
        <w:spacing w:after="120" w:line="336" w:lineRule="auto"/>
      </w:pPr>
      <w:r>
        <w:rPr>
          <w:rFonts w:ascii="微软雅黑" w:hAnsi="微软雅黑" w:eastAsia="微软雅黑"/>
        </w:rPr>
        <w:t>三、数据使用环节。平台建立基于角色的访问控制机制，按岗位职责分级授权，仅授权人员在授权范围内可访问对应数据；操作行为全程留痕，具备安全稽核与日志管理能力，操作记录可追溯、可审计。</w:t>
      </w:r>
    </w:p>
    <w:p>
      <w:pPr>
        <w:spacing w:after="120" w:line="336" w:lineRule="auto"/>
      </w:pPr>
      <w:r>
        <w:rPr>
          <w:rFonts w:ascii="微软雅黑" w:hAnsi="微软雅黑" w:eastAsia="微软雅黑"/>
        </w:rPr>
        <w:t>四、数据加工环节。平台对原始采集数据进行整理、计算与结构化加工，形成康复过程统计结果与评估数据。加工过程在受控环境内进行，加工结果继承原始数据的访问控制策略。</w:t>
      </w:r>
    </w:p>
    <w:p>
      <w:pPr>
        <w:spacing w:after="120" w:line="336" w:lineRule="auto"/>
      </w:pPr>
      <w:r>
        <w:rPr>
          <w:rFonts w:ascii="微软雅黑" w:hAnsi="微软雅黑" w:eastAsia="微软雅黑"/>
        </w:rPr>
        <w:t>五、数据传输环节。数据传输全程采用加密通道，数据仅在境内自有系统与云平台之间流转，不向境外传输、不做数据出境。</w:t>
      </w:r>
    </w:p>
    <w:p>
      <w:pPr>
        <w:spacing w:after="120" w:line="336" w:lineRule="auto"/>
      </w:pPr>
      <w:r>
        <w:rPr>
          <w:rFonts w:ascii="微软雅黑" w:hAnsi="微软雅黑" w:eastAsia="微软雅黑"/>
        </w:rPr>
        <w:t>六、数据脱敏与去标识化。本数据集以系统编码替代个人身份信息；对外提供或用于展示时，均以脱敏或汇总数据为限，不提供未经脱敏的原始数据。</w:t>
      </w:r>
    </w:p>
    <w:p>
      <w:pPr>
        <w:spacing w:after="120" w:line="336" w:lineRule="auto"/>
      </w:pPr>
      <w:r>
        <w:rPr>
          <w:rFonts w:ascii="微软雅黑" w:hAnsi="微软雅黑" w:eastAsia="微软雅黑"/>
        </w:rPr>
        <w:t>七、异常检测与数据挖掘应用。平台具备异常检测能力，对设备连接异常、数据传输中断等情形进行识别与处理；在合规授权范围内开展数据挖掘与统计分析，用于康复效果量化评估与服务改进。</w:t>
      </w:r>
    </w:p>
    <w:p>
      <w:pPr>
        <w:spacing w:after="120" w:line="336" w:lineRule="auto"/>
      </w:pPr>
      <w:r>
        <w:rPr>
          <w:rFonts w:ascii="微软雅黑" w:hAnsi="微软雅黑" w:eastAsia="微软雅黑"/>
        </w:rPr>
        <w:t>八、数据可视化应用。平台将治疗过程数据、设备参数与评估结果进行可视化呈现，供专业人员与使用者查看康复进展。</w:t>
      </w:r>
    </w:p>
    <w:p>
      <w:pPr>
        <w:spacing w:after="120" w:line="336" w:lineRule="auto"/>
      </w:pPr>
      <w:r>
        <w:rPr>
          <w:rFonts w:ascii="微软雅黑" w:hAnsi="微软雅黑" w:eastAsia="微软雅黑"/>
        </w:rPr>
        <w:t>【字数】约760字</w:t>
      </w:r>
    </w:p>
    <w:p>
      <w:pPr>
        <w:spacing w:after="120" w:line="336" w:lineRule="auto"/>
      </w:pPr>
      <w:r>
        <w:rPr>
          <w:rFonts w:ascii="微软雅黑" w:hAnsi="微软雅黑" w:eastAsia="微软雅黑"/>
        </w:rPr>
        <w:t>【理由】平台要求"明确数据采集、储存、使用、加工、传输等各环节的实现方式与技术措施"，故按环节逐段对应撰写，并覆盖平台提示词中列举的技术措施类型（数据加密、访问控制、数据脱敏、数据备份与恢复、数据分类与分级、安全稽核与日志管理、异常检测与数据挖掘、数据可视化等）。</w:t>
      </w:r>
    </w:p>
    <w:p>
      <w:pPr>
        <w:spacing w:before="160" w:after="160"/>
      </w:pPr>
      <w:r>
        <w:rPr>
          <w:color w:val="BBBBBB"/>
          <w:sz w:val="16"/>
        </w:rPr>
        <w:t>──────────────────────────────────────────────────────────</w:t>
      </w:r>
    </w:p>
    <w:p>
      <w:pPr>
        <w:pStyle w:val="Heading2"/>
      </w:pPr>
      <w:r>
        <w:rPr>
          <w:rFonts w:ascii="微软雅黑" w:hAnsi="微软雅黑" w:eastAsia="微软雅黑"/>
          <w:color w:val="1A478A"/>
          <w:sz w:val="30"/>
        </w:rPr>
        <w:t>五、应用场景说明（必填，≤2000字）</w:t>
      </w:r>
    </w:p>
    <w:p>
      <w:pPr>
        <w:spacing w:after="120" w:line="336" w:lineRule="auto"/>
      </w:pPr>
      <w:r>
        <w:rPr>
          <w:rFonts w:ascii="微软雅黑" w:hAnsi="微软雅黑" w:eastAsia="微软雅黑"/>
        </w:rPr>
        <w:t>【照抄】</w:t>
      </w:r>
    </w:p>
    <w:p>
      <w:pPr>
        <w:spacing w:after="120" w:line="336" w:lineRule="auto"/>
      </w:pPr>
      <w:r>
        <w:rPr>
          <w:rFonts w:ascii="微软雅黑" w:hAnsi="微软雅黑" w:eastAsia="微软雅黑"/>
        </w:rPr>
        <w:t>一、登记数据产品内容。本数据集为2022年11月至今居家康复治疗与服务协同全过程数据集，累计记录逾32万条，覆盖15,257名接受过康复治疗的使用者。数据内容由四个层次构成：方案与疗程层（康复方案、疗程划分与阶段信息）、处方执行层（每次治疗的治疗时长、设备编号、电流参数、波形图，该层约24.4万条，为数据集主体）、设备运行与生理反馈层（设备连接运行日志、设备端采集的生理反馈参数）、多师服务协同层（多师团队评估、方案调整、随访指导记录与协同会话，覆盖2,435个服务群、67,754条记录）。覆盖盆底功能障碍性疾病相关、产后康复相关及镇痛等12类以上康复病种。</w:t>
      </w:r>
    </w:p>
    <w:p>
      <w:pPr>
        <w:spacing w:after="120" w:line="336" w:lineRule="auto"/>
      </w:pPr>
      <w:r>
        <w:rPr>
          <w:rFonts w:ascii="微软雅黑" w:hAnsi="微软雅黑" w:eastAsia="微软雅黑"/>
        </w:rPr>
        <w:t>二、给谁用。主要面向四类使用对象：</w:t>
      </w:r>
    </w:p>
    <w:p>
      <w:pPr>
        <w:spacing w:after="120" w:line="336" w:lineRule="auto"/>
      </w:pPr>
      <w:r>
        <w:rPr>
          <w:rFonts w:ascii="微软雅黑" w:hAnsi="微软雅黑" w:eastAsia="微软雅黑"/>
        </w:rPr>
        <w:t>1.属于数据持有权人自身的居家康复服务团队，用于服务全过程管理与质量改进；</w:t>
      </w:r>
    </w:p>
    <w:p>
      <w:pPr>
        <w:spacing w:after="120" w:line="336" w:lineRule="auto"/>
      </w:pPr>
      <w:r>
        <w:rPr>
          <w:rFonts w:ascii="微软雅黑" w:hAnsi="微软雅黑" w:eastAsia="微软雅黑"/>
        </w:rPr>
        <w:t>2.合作医疗机构（经授权的专业人员），用于使用者居家康复过程跟进与效果评估；</w:t>
      </w:r>
    </w:p>
    <w:p>
      <w:pPr>
        <w:spacing w:after="120" w:line="336" w:lineRule="auto"/>
      </w:pPr>
      <w:r>
        <w:rPr>
          <w:rFonts w:ascii="微软雅黑" w:hAnsi="微软雅黑" w:eastAsia="微软雅黑"/>
        </w:rPr>
        <w:t>3.从事康复医学、数字疗法、卫生管理等方向研究的科研机构，用于不涉及个人识别的学术研究；</w:t>
      </w:r>
    </w:p>
    <w:p>
      <w:pPr>
        <w:spacing w:after="120" w:line="336" w:lineRule="auto"/>
      </w:pPr>
      <w:r>
        <w:rPr>
          <w:rFonts w:ascii="微软雅黑" w:hAnsi="微软雅黑" w:eastAsia="微软雅黑"/>
        </w:rPr>
        <w:t>4.医疗健康领域的数据应用方，用于在合规授权与脱敏前提下的应用开发。</w:t>
      </w:r>
    </w:p>
    <w:p>
      <w:pPr>
        <w:spacing w:after="120" w:line="336" w:lineRule="auto"/>
      </w:pPr>
      <w:r>
        <w:rPr>
          <w:rFonts w:ascii="微软雅黑" w:hAnsi="微软雅黑" w:eastAsia="微软雅黑"/>
        </w:rPr>
        <w:t>三、用来做什么、起到什么作用。本数据集完整记录使用者自方案下达、疗程执行、处方治疗、设备数据回传、多师远程随访到阶段性效果评估的全流程居家康复闭环，可用于：居家康复方案的个体化优化，依据历史执行数据调整治疗参数与频次；康复效果量化评估，以客观执行记录支撑效果判断；不同病种居家康复规律研究，发现治疗依从性与康复进程的相关性；居家康复服务质量持续改进。解决的核心问题是：居家康复长期缺乏客观过程数据，治疗效果难以量化、服务质量难以评估，本数据集使居家康复全过程可记录、可追溯、可分析，为居家康复服务模式的标准化推广提供数据支撑。</w:t>
      </w:r>
    </w:p>
    <w:p>
      <w:pPr>
        <w:spacing w:after="120" w:line="336" w:lineRule="auto"/>
      </w:pPr>
      <w:r>
        <w:rPr>
          <w:rFonts w:ascii="微软雅黑" w:hAnsi="微软雅黑" w:eastAsia="微软雅黑"/>
        </w:rPr>
        <w:t>四、主体适格性要求。使用方须为依法设立并有效存续的法人或其他组织，具备医疗健康或数据相关领域的合法经营范围与相应业务能力。</w:t>
      </w:r>
    </w:p>
    <w:p>
      <w:pPr>
        <w:spacing w:after="120" w:line="336" w:lineRule="auto"/>
      </w:pPr>
      <w:r>
        <w:rPr>
          <w:rFonts w:ascii="微软雅黑" w:hAnsi="微软雅黑" w:eastAsia="微软雅黑"/>
        </w:rPr>
        <w:t>五、信用情况要求。使用方未被列入经营异常名录、严重违法失信名单，无重大违法违规记录。</w:t>
      </w:r>
    </w:p>
    <w:p>
      <w:pPr>
        <w:spacing w:after="120" w:line="336" w:lineRule="auto"/>
      </w:pPr>
      <w:r>
        <w:rPr>
          <w:rFonts w:ascii="微软雅黑" w:hAnsi="微软雅黑" w:eastAsia="微软雅黑"/>
        </w:rPr>
        <w:t>六、数据安全保障能力要求。使用方须具备与数据敏感程度相匹配的数据安全管理能力，包括但不限于：建立数据安全管理制度、实施访问控制与权限管理、具备日志审计能力、承诺不违规留存与转售数据、承诺配合审计与监督。</w:t>
      </w:r>
    </w:p>
    <w:p>
      <w:pPr>
        <w:spacing w:after="120" w:line="336" w:lineRule="auto"/>
      </w:pPr>
      <w:r>
        <w:rPr>
          <w:rFonts w:ascii="微软雅黑" w:hAnsi="微软雅黑" w:eastAsia="微软雅黑"/>
        </w:rPr>
        <w:t>【字数】约680字</w:t>
      </w:r>
    </w:p>
    <w:p>
      <w:pPr>
        <w:spacing w:after="120" w:line="336" w:lineRule="auto"/>
      </w:pPr>
      <w:r>
        <w:rPr>
          <w:rFonts w:ascii="微软雅黑" w:hAnsi="微软雅黑" w:eastAsia="微软雅黑"/>
        </w:rPr>
        <w:t>【理由】平台要求"描述数据使用的条件、范围或对象，如数据产品内容是什么、给谁用、用来做什么、起到什么作用/能解决什么问题"，并"可明确提出主体适格性要求、信用情况要求、数据安全保障能力要求"。故按此五段结构撰写，平台提示的三个要求项逐一正面回应。</w:t>
      </w:r>
    </w:p>
    <w:p>
      <w:pPr>
        <w:spacing w:before="160" w:after="160"/>
      </w:pPr>
      <w:r>
        <w:rPr>
          <w:color w:val="BBBBBB"/>
          <w:sz w:val="16"/>
        </w:rPr>
        <w:t>──────────────────────────────────────────────────────────</w:t>
      </w:r>
    </w:p>
    <w:p>
      <w:pPr>
        <w:pStyle w:val="Heading2"/>
      </w:pPr>
      <w:r>
        <w:rPr>
          <w:rFonts w:ascii="微软雅黑" w:hAnsi="微软雅黑" w:eastAsia="微软雅黑"/>
          <w:color w:val="1A478A"/>
          <w:sz w:val="30"/>
        </w:rPr>
        <w:t>六、限制或禁止使用场景说明（必填，≤2000字）</w:t>
      </w:r>
    </w:p>
    <w:p>
      <w:pPr>
        <w:spacing w:after="120" w:line="336" w:lineRule="auto"/>
      </w:pPr>
      <w:r>
        <w:rPr>
          <w:rFonts w:ascii="微软雅黑" w:hAnsi="微软雅黑" w:eastAsia="微软雅黑"/>
        </w:rPr>
        <w:t>【照抄】</w:t>
      </w:r>
    </w:p>
    <w:p>
      <w:pPr>
        <w:spacing w:after="120" w:line="336" w:lineRule="auto"/>
      </w:pPr>
      <w:r>
        <w:rPr>
          <w:rFonts w:ascii="微软雅黑" w:hAnsi="微软雅黑" w:eastAsia="微软雅黑"/>
        </w:rPr>
        <w:t>一、适用对象限制。使用方须为依法设立并有效存续的法人或其他组织，且具备医疗健康或数据相关领域的合法经营范围。不接受个人或非合规主体申请使用。被列入经营异常名录、严重违法失信名单或存在重大违法违规记录的主体，不得使用本数据集。</w:t>
      </w:r>
    </w:p>
    <w:p>
      <w:pPr>
        <w:spacing w:after="120" w:line="336" w:lineRule="auto"/>
      </w:pPr>
      <w:r>
        <w:rPr>
          <w:rFonts w:ascii="微软雅黑" w:hAnsi="微软雅黑" w:eastAsia="微软雅黑"/>
        </w:rPr>
        <w:t>二、买方资质和能力限制。使用方须具备与数据敏感程度相匹配的数据安全保障能力，包括数据安全管理制度、访问控制与权限管理机制、日志审计能力及应急处置能力。使用方须承诺接受数据提供方的合规审计与监督。</w:t>
      </w:r>
    </w:p>
    <w:p>
      <w:pPr>
        <w:spacing w:after="120" w:line="336" w:lineRule="auto"/>
      </w:pPr>
      <w:r>
        <w:rPr>
          <w:rFonts w:ascii="微软雅黑" w:hAnsi="微软雅黑" w:eastAsia="微软雅黑"/>
        </w:rPr>
        <w:t>三、买方应用环境限制。使用方须在符合国家信息安全要求的受控环境中使用数据，使用环境须具备数据加密、访问控制与操作留痕能力。数据不得在无安全保障的公开环境中处理或存储。</w:t>
      </w:r>
    </w:p>
    <w:p>
      <w:pPr>
        <w:spacing w:after="120" w:line="336" w:lineRule="auto"/>
      </w:pPr>
      <w:r>
        <w:rPr>
          <w:rFonts w:ascii="微软雅黑" w:hAnsi="微软雅黑" w:eastAsia="微软雅黑"/>
        </w:rPr>
        <w:t>四、买方所属地域限制。使用方须为中国境内合法主体，数据仅限在中国境内使用。数据不得向境外传输、不得出境、不得由境外主体访问或处理。</w:t>
      </w:r>
    </w:p>
    <w:p>
      <w:pPr>
        <w:spacing w:after="120" w:line="336" w:lineRule="auto"/>
      </w:pPr>
      <w:r>
        <w:rPr>
          <w:rFonts w:ascii="微软雅黑" w:hAnsi="微软雅黑" w:eastAsia="微软雅黑"/>
        </w:rPr>
        <w:t>五、转售限制。未经数据提供方书面同意，使用方不得将本数据集或其任何部分再次转售、转让、共享、出租或以其他方式向任何第三方提供。经授权对外提供衍生结果的，须以脱敏或汇总数据为限。</w:t>
      </w:r>
    </w:p>
    <w:p>
      <w:pPr>
        <w:spacing w:after="120" w:line="336" w:lineRule="auto"/>
      </w:pPr>
      <w:r>
        <w:rPr>
          <w:rFonts w:ascii="微软雅黑" w:hAnsi="微软雅黑" w:eastAsia="微软雅黑"/>
        </w:rPr>
        <w:t>六、数据出境限制。本数据集禁止数据出境，禁止在境外服务器存储或处理，禁止由境外主体访问。</w:t>
      </w:r>
    </w:p>
    <w:p>
      <w:pPr>
        <w:spacing w:after="120" w:line="336" w:lineRule="auto"/>
      </w:pPr>
      <w:r>
        <w:rPr>
          <w:rFonts w:ascii="微软雅黑" w:hAnsi="微软雅黑" w:eastAsia="微软雅黑"/>
        </w:rPr>
        <w:t>七、用途限制。不得将本数据集用于对外商业营销、广告投放、用户画像、电信诈骗防范以外的催收或骚扰行为；不得用于任何违反法律法规或公序良俗的用途；不得用于针对特定个人的身份还原或再识别。</w:t>
      </w:r>
    </w:p>
    <w:p>
      <w:pPr>
        <w:spacing w:after="120" w:line="336" w:lineRule="auto"/>
      </w:pPr>
      <w:r>
        <w:rPr>
          <w:rFonts w:ascii="微软雅黑" w:hAnsi="微软雅黑" w:eastAsia="微软雅黑"/>
        </w:rPr>
        <w:t>八、个人信息保护限制。使用方不得尝试通过技术手段将系统编码还原为可识别个人身份的信息；不得将本数据集与任何其他数据源结合以还原个人身份。</w:t>
      </w:r>
    </w:p>
    <w:p>
      <w:pPr>
        <w:spacing w:after="120" w:line="336" w:lineRule="auto"/>
      </w:pPr>
      <w:r>
        <w:rPr>
          <w:rFonts w:ascii="微软雅黑" w:hAnsi="微软雅黑" w:eastAsia="微软雅黑"/>
        </w:rPr>
        <w:t>九、禁止行为。禁止以任何形式非法获取、篡改、破坏本数据集；禁止规避数据提供方设置的技术保护措施；禁止超出授权范围使用数据。</w:t>
      </w:r>
    </w:p>
    <w:p>
      <w:pPr>
        <w:spacing w:after="120" w:line="336" w:lineRule="auto"/>
      </w:pPr>
      <w:r>
        <w:rPr>
          <w:rFonts w:ascii="微软雅黑" w:hAnsi="微软雅黑" w:eastAsia="微软雅黑"/>
        </w:rPr>
        <w:t>【字数】约680字</w:t>
      </w:r>
    </w:p>
    <w:p>
      <w:pPr>
        <w:spacing w:after="120" w:line="336" w:lineRule="auto"/>
      </w:pPr>
      <w:r>
        <w:rPr>
          <w:rFonts w:ascii="微软雅黑" w:hAnsi="微软雅黑" w:eastAsia="微软雅黑"/>
        </w:rPr>
        <w:t>【理由】平台要求"描述适用对象限制、买方资质和能力、买方应用环境、买方所属地域、是否允许再次转售、是否允许数据出境等限制或禁止性要求"，故按此框架逐项对应，并对"是否允许再次转售""是否允许数据出境"给出明确定性结论（均不允许）。虽平台允许填"无"，但填写具体限制更显管理规范，且与本数据集涉及健康信息的高敏感程度相匹配。</w:t>
      </w:r>
    </w:p>
    <w:p>
      <w:pPr>
        <w:spacing w:before="160" w:after="160"/>
      </w:pPr>
      <w:r>
        <w:rPr>
          <w:color w:val="BBBBBB"/>
          <w:sz w:val="16"/>
        </w:rPr>
        <w:t>──────────────────────────────────────────────────────────</w:t>
      </w:r>
    </w:p>
    <w:p>
      <w:pPr>
        <w:pStyle w:val="Heading2"/>
      </w:pPr>
      <w:r>
        <w:rPr>
          <w:rFonts w:ascii="微软雅黑" w:hAnsi="微软雅黑" w:eastAsia="微软雅黑"/>
          <w:color w:val="1A478A"/>
          <w:sz w:val="30"/>
        </w:rPr>
        <w:t>七、质押状态</w:t>
      </w:r>
    </w:p>
    <w:p>
      <w:pPr>
        <w:spacing w:after="120" w:line="336" w:lineRule="auto"/>
      </w:pPr>
      <w:r>
        <w:rPr>
          <w:rFonts w:ascii="微软雅黑" w:hAnsi="微软雅黑" w:eastAsia="微软雅黑"/>
        </w:rPr>
        <w:t>【照抄】未质押（保持平台默认选中，不做变更）</w:t>
      </w:r>
    </w:p>
    <w:p>
      <w:pPr>
        <w:spacing w:after="120" w:line="336" w:lineRule="auto"/>
      </w:pPr>
      <w:r>
        <w:rPr>
          <w:rFonts w:ascii="微软雅黑" w:hAnsi="微软雅黑" w:eastAsia="微软雅黑"/>
        </w:rPr>
        <w:t>【理由】本数据集未设定任何质押，据实填写。</w:t>
      </w:r>
    </w:p>
    <w:p>
      <w:pPr>
        <w:spacing w:before="160" w:after="160"/>
      </w:pPr>
      <w:r>
        <w:rPr>
          <w:color w:val="BBBBBB"/>
          <w:sz w:val="16"/>
        </w:rPr>
        <w:t>──────────────────────────────────────────────────────────</w:t>
      </w:r>
    </w:p>
    <w:p>
      <w:pPr>
        <w:pStyle w:val="Heading2"/>
      </w:pPr>
      <w:r>
        <w:rPr>
          <w:rFonts w:ascii="微软雅黑" w:hAnsi="微软雅黑" w:eastAsia="微软雅黑"/>
          <w:color w:val="1A478A"/>
          <w:sz w:val="30"/>
        </w:rPr>
        <w:t>八、证明材料清单（待补，供后续屏使用）</w:t>
      </w:r>
    </w:p>
    <w:p>
      <w:pPr>
        <w:spacing w:after="120" w:line="336" w:lineRule="auto"/>
      </w:pPr>
      <w:r>
        <w:rPr>
          <w:rFonts w:ascii="微软雅黑" w:hAnsi="微软雅黑" w:eastAsia="微软雅黑"/>
        </w:rPr>
        <w:t>以下为本稿涉及但尚未上传的证明文件，按平台提示要求整理，供后续补充截图后完善：</w:t>
      </w:r>
    </w:p>
    <w:p>
      <w:pPr>
        <w:pStyle w:val="Heading3"/>
      </w:pPr>
      <w:r>
        <w:rPr>
          <w:rFonts w:ascii="微软雅黑" w:hAnsi="微软雅黑" w:eastAsia="微软雅黑"/>
          <w:color w:val="2D5F9E"/>
          <w:sz w:val="26"/>
        </w:rPr>
        <w:t>持有权证明文件（平台提示要求）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序号</w:t>
            </w:r>
          </w:p>
        </w:tc>
        <w:tc>
          <w:tcPr>
            <w:tcW w:type="dxa" w:w="2880"/>
            <w:shd w:fill="1A478A" w:val="clear"/>
          </w:tcPr>
          <w:p>
            <w:r/>
            <w:r>
              <w:rPr>
                <w:rFonts w:ascii="微软雅黑" w:hAnsi="微软雅黑" w:eastAsia="微软雅黑"/>
                <w:b/>
                <w:color w:val="FFFFFF"/>
                <w:sz w:val="20"/>
              </w:rPr>
              <w:t>材料</w:t>
            </w:r>
          </w:p>
        </w:tc>
        <w:tc>
          <w:tcPr>
            <w:tcW w:type="dxa" w:w="2880"/>
            <w:shd w:fill="1A478A" w:val="clear"/>
          </w:tcPr>
          <w:p>
            <w:r/>
            <w:r>
              <w:rPr>
                <w:rFonts w:ascii="微软雅黑" w:hAnsi="微软雅黑" w:eastAsia="微软雅黑"/>
                <w:b/>
                <w:color w:val="FFFFFF"/>
                <w:sz w:val="20"/>
              </w:rPr>
              <w:t>状态</w:t>
            </w:r>
          </w:p>
        </w:tc>
      </w:tr>
      <w:tr>
        <w:tc>
          <w:tcPr>
            <w:tcW w:type="dxa" w:w="2880"/>
          </w:tcPr>
          <w:p>
            <w:r>
              <w:rPr>
                <w:rFonts w:ascii="微软雅黑" w:hAnsi="微软雅黑" w:eastAsia="微软雅黑"/>
                <w:sz w:val="20"/>
              </w:rPr>
            </w:r>
            <w:r>
              <w:rPr>
                <w:rFonts w:ascii="微软雅黑" w:hAnsi="微软雅黑" w:eastAsia="微软雅黑"/>
                <w:sz w:val="20"/>
              </w:rPr>
              <w:t>1</w:t>
            </w:r>
          </w:p>
        </w:tc>
        <w:tc>
          <w:tcPr>
            <w:tcW w:type="dxa" w:w="2880"/>
          </w:tcPr>
          <w:p>
            <w:r>
              <w:rPr>
                <w:rFonts w:ascii="微软雅黑" w:hAnsi="微软雅黑" w:eastAsia="微软雅黑"/>
                <w:sz w:val="20"/>
              </w:rPr>
            </w:r>
            <w:r>
              <w:rPr>
                <w:rFonts w:ascii="微软雅黑" w:hAnsi="微软雅黑" w:eastAsia="微软雅黑"/>
                <w:sz w:val="20"/>
              </w:rPr>
              <w:t>数据来源证明材料（反映数据由自有设备、自有平台、自有服务团队产生的说明及佐证）</w:t>
            </w:r>
          </w:p>
        </w:tc>
        <w:tc>
          <w:tcPr>
            <w:tcW w:type="dxa" w:w="2880"/>
          </w:tcPr>
          <w:p>
            <w:r>
              <w:rPr>
                <w:rFonts w:ascii="微软雅黑" w:hAnsi="微软雅黑" w:eastAsia="微软雅黑"/>
                <w:sz w:val="20"/>
              </w:rPr>
            </w:r>
            <w:r>
              <w:rPr>
                <w:rFonts w:ascii="微软雅黑" w:hAnsi="微软雅黑" w:eastAsia="微软雅黑"/>
                <w:sz w:val="20"/>
              </w:rPr>
              <w:t>待整理</w:t>
            </w:r>
          </w:p>
        </w:tc>
      </w:tr>
      <w:tr>
        <w:tc>
          <w:tcPr>
            <w:tcW w:type="dxa" w:w="2880"/>
            <w:shd w:fill="F5F7FA" w:val="clear"/>
          </w:tcPr>
          <w:p>
            <w:r>
              <w:rPr>
                <w:rFonts w:ascii="微软雅黑" w:hAnsi="微软雅黑" w:eastAsia="微软雅黑"/>
                <w:sz w:val="20"/>
              </w:rPr>
            </w:r>
            <w:r>
              <w:rPr>
                <w:rFonts w:ascii="微软雅黑" w:hAnsi="微软雅黑" w:eastAsia="微软雅黑"/>
                <w:sz w:val="20"/>
              </w:rPr>
              <w:t>2</w:t>
            </w:r>
          </w:p>
        </w:tc>
        <w:tc>
          <w:tcPr>
            <w:tcW w:type="dxa" w:w="2880"/>
            <w:shd w:fill="F5F7FA" w:val="clear"/>
          </w:tcPr>
          <w:p>
            <w:r>
              <w:rPr>
                <w:rFonts w:ascii="微软雅黑" w:hAnsi="微软雅黑" w:eastAsia="微软雅黑"/>
                <w:sz w:val="20"/>
              </w:rPr>
            </w:r>
            <w:r>
              <w:rPr>
                <w:rFonts w:ascii="微软雅黑" w:hAnsi="微软雅黑" w:eastAsia="微软雅黑"/>
                <w:sz w:val="20"/>
              </w:rPr>
              <w:t>数据实际持有或控制证明（系统架构说明、运维日志、系统上线记录等）</w:t>
            </w:r>
          </w:p>
        </w:tc>
        <w:tc>
          <w:tcPr>
            <w:tcW w:type="dxa" w:w="2880"/>
            <w:shd w:fill="F5F7FA" w:val="clear"/>
          </w:tcPr>
          <w:p>
            <w:r>
              <w:rPr>
                <w:rFonts w:ascii="微软雅黑" w:hAnsi="微软雅黑" w:eastAsia="微软雅黑"/>
                <w:sz w:val="20"/>
              </w:rPr>
            </w:r>
            <w:r>
              <w:rPr>
                <w:rFonts w:ascii="微软雅黑" w:hAnsi="微软雅黑" w:eastAsia="微软雅黑"/>
                <w:sz w:val="20"/>
              </w:rPr>
              <w:t>待整理</w:t>
            </w:r>
          </w:p>
        </w:tc>
      </w:tr>
      <w:tr>
        <w:tc>
          <w:tcPr>
            <w:tcW w:type="dxa" w:w="2880"/>
          </w:tcPr>
          <w:p>
            <w:r>
              <w:rPr>
                <w:rFonts w:ascii="微软雅黑" w:hAnsi="微软雅黑" w:eastAsia="微软雅黑"/>
                <w:sz w:val="20"/>
              </w:rPr>
            </w:r>
            <w:r>
              <w:rPr>
                <w:rFonts w:ascii="微软雅黑" w:hAnsi="微软雅黑" w:eastAsia="微软雅黑"/>
                <w:sz w:val="20"/>
              </w:rPr>
              <w:t>3</w:t>
            </w:r>
          </w:p>
        </w:tc>
        <w:tc>
          <w:tcPr>
            <w:tcW w:type="dxa" w:w="2880"/>
          </w:tcPr>
          <w:p>
            <w:r>
              <w:rPr>
                <w:rFonts w:ascii="微软雅黑" w:hAnsi="微软雅黑" w:eastAsia="微软雅黑"/>
                <w:sz w:val="20"/>
              </w:rPr>
            </w:r>
            <w:r>
              <w:rPr>
                <w:rFonts w:ascii="微软雅黑" w:hAnsi="微软雅黑" w:eastAsia="微软雅黑"/>
                <w:sz w:val="20"/>
              </w:rPr>
              <w:t>数据来源为自行生产的佐证（企业营收、设备运转、系统日志、运维日志）</w:t>
            </w:r>
          </w:p>
        </w:tc>
        <w:tc>
          <w:tcPr>
            <w:tcW w:type="dxa" w:w="2880"/>
          </w:tcPr>
          <w:p>
            <w:r>
              <w:rPr>
                <w:rFonts w:ascii="微软雅黑" w:hAnsi="微软雅黑" w:eastAsia="微软雅黑"/>
                <w:sz w:val="20"/>
              </w:rPr>
            </w:r>
            <w:r>
              <w:rPr>
                <w:rFonts w:ascii="微软雅黑" w:hAnsi="微软雅黑" w:eastAsia="微软雅黑"/>
                <w:sz w:val="20"/>
              </w:rPr>
              <w:t>待整理</w:t>
            </w:r>
          </w:p>
        </w:tc>
      </w:tr>
      <w:tr>
        <w:tc>
          <w:tcPr>
            <w:tcW w:type="dxa" w:w="2880"/>
            <w:shd w:fill="F5F7FA" w:val="clear"/>
          </w:tcPr>
          <w:p>
            <w:r>
              <w:rPr>
                <w:rFonts w:ascii="微软雅黑" w:hAnsi="微软雅黑" w:eastAsia="微软雅黑"/>
                <w:sz w:val="20"/>
              </w:rPr>
            </w:r>
            <w:r>
              <w:rPr>
                <w:rFonts w:ascii="微软雅黑" w:hAnsi="微软雅黑" w:eastAsia="微软雅黑"/>
                <w:sz w:val="20"/>
              </w:rPr>
              <w:t>4</w:t>
            </w:r>
          </w:p>
        </w:tc>
        <w:tc>
          <w:tcPr>
            <w:tcW w:type="dxa" w:w="2880"/>
            <w:shd w:fill="F5F7FA" w:val="clear"/>
          </w:tcPr>
          <w:p>
            <w:r>
              <w:rPr>
                <w:rFonts w:ascii="微软雅黑" w:hAnsi="微软雅黑" w:eastAsia="微软雅黑"/>
                <w:sz w:val="20"/>
              </w:rPr>
            </w:r>
            <w:r>
              <w:rPr>
                <w:rFonts w:ascii="微软雅黑" w:hAnsi="微软雅黑" w:eastAsia="微软雅黑"/>
                <w:sz w:val="20"/>
              </w:rPr>
              <w:t>涉及个人信息的脱敏政策说明</w:t>
            </w:r>
          </w:p>
        </w:tc>
        <w:tc>
          <w:tcPr>
            <w:tcW w:type="dxa" w:w="2880"/>
            <w:shd w:fill="F5F7FA" w:val="clear"/>
          </w:tcPr>
          <w:p>
            <w:r>
              <w:rPr>
                <w:rFonts w:ascii="微软雅黑" w:hAnsi="微软雅黑" w:eastAsia="微软雅黑"/>
                <w:sz w:val="20"/>
              </w:rPr>
            </w:r>
            <w:r>
              <w:rPr>
                <w:rFonts w:ascii="微软雅黑" w:hAnsi="微软雅黑" w:eastAsia="微软雅黑"/>
                <w:sz w:val="20"/>
              </w:rPr>
              <w:t>待整理</w:t>
            </w:r>
          </w:p>
        </w:tc>
      </w:tr>
      <w:tr>
        <w:tc>
          <w:tcPr>
            <w:tcW w:type="dxa" w:w="2880"/>
          </w:tcPr>
          <w:p>
            <w:r>
              <w:rPr>
                <w:rFonts w:ascii="微软雅黑" w:hAnsi="微软雅黑" w:eastAsia="微软雅黑"/>
                <w:sz w:val="20"/>
              </w:rPr>
            </w:r>
            <w:r>
              <w:rPr>
                <w:rFonts w:ascii="微软雅黑" w:hAnsi="微软雅黑" w:eastAsia="微软雅黑"/>
                <w:sz w:val="20"/>
              </w:rPr>
              <w:t>5</w:t>
            </w:r>
          </w:p>
        </w:tc>
        <w:tc>
          <w:tcPr>
            <w:tcW w:type="dxa" w:w="2880"/>
          </w:tcPr>
          <w:p>
            <w:r>
              <w:rPr>
                <w:rFonts w:ascii="微软雅黑" w:hAnsi="微软雅黑" w:eastAsia="微软雅黑"/>
                <w:sz w:val="20"/>
              </w:rPr>
            </w:r>
            <w:r>
              <w:rPr>
                <w:rFonts w:ascii="微软雅黑" w:hAnsi="微软雅黑" w:eastAsia="微软雅黑"/>
                <w:sz w:val="20"/>
              </w:rPr>
              <w:t>用户协议及获得个人同意的佐证材料</w:t>
            </w:r>
          </w:p>
        </w:tc>
        <w:tc>
          <w:tcPr>
            <w:tcW w:type="dxa" w:w="2880"/>
          </w:tcPr>
          <w:p>
            <w:r>
              <w:rPr>
                <w:rFonts w:ascii="微软雅黑" w:hAnsi="微软雅黑" w:eastAsia="微软雅黑"/>
                <w:sz w:val="20"/>
              </w:rPr>
            </w:r>
            <w:r>
              <w:rPr>
                <w:rFonts w:ascii="微软雅黑" w:hAnsi="微软雅黑" w:eastAsia="微软雅黑"/>
                <w:sz w:val="20"/>
              </w:rPr>
              <w:t>待确认是否已有原件</w:t>
            </w:r>
          </w:p>
        </w:tc>
      </w:tr>
    </w:tbl>
    <w:p/>
    <w:p>
      <w:pPr>
        <w:pStyle w:val="Heading3"/>
      </w:pPr>
      <w:r>
        <w:rPr>
          <w:rFonts w:ascii="微软雅黑" w:hAnsi="微软雅黑" w:eastAsia="微软雅黑"/>
          <w:color w:val="2D5F9E"/>
          <w:sz w:val="26"/>
        </w:rPr>
        <w:t>使用权证明文件（平台提示要求）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序号</w:t>
            </w:r>
          </w:p>
        </w:tc>
        <w:tc>
          <w:tcPr>
            <w:tcW w:type="dxa" w:w="2880"/>
            <w:shd w:fill="1A478A" w:val="clear"/>
          </w:tcPr>
          <w:p>
            <w:r/>
            <w:r>
              <w:rPr>
                <w:rFonts w:ascii="微软雅黑" w:hAnsi="微软雅黑" w:eastAsia="微软雅黑"/>
                <w:b/>
                <w:color w:val="FFFFFF"/>
                <w:sz w:val="20"/>
              </w:rPr>
              <w:t>材料</w:t>
            </w:r>
          </w:p>
        </w:tc>
        <w:tc>
          <w:tcPr>
            <w:tcW w:type="dxa" w:w="2880"/>
            <w:shd w:fill="1A478A" w:val="clear"/>
          </w:tcPr>
          <w:p>
            <w:r/>
            <w:r>
              <w:rPr>
                <w:rFonts w:ascii="微软雅黑" w:hAnsi="微软雅黑" w:eastAsia="微软雅黑"/>
                <w:b/>
                <w:color w:val="FFFFFF"/>
                <w:sz w:val="20"/>
              </w:rPr>
              <w:t>状态</w:t>
            </w:r>
          </w:p>
        </w:tc>
      </w:tr>
      <w:tr>
        <w:tc>
          <w:tcPr>
            <w:tcW w:type="dxa" w:w="2880"/>
          </w:tcPr>
          <w:p>
            <w:r>
              <w:rPr>
                <w:rFonts w:ascii="微软雅黑" w:hAnsi="微软雅黑" w:eastAsia="微软雅黑"/>
                <w:sz w:val="20"/>
              </w:rPr>
            </w:r>
            <w:r>
              <w:rPr>
                <w:rFonts w:ascii="微软雅黑" w:hAnsi="微软雅黑" w:eastAsia="微软雅黑"/>
                <w:sz w:val="20"/>
              </w:rPr>
              <w:t>1</w:t>
            </w:r>
          </w:p>
        </w:tc>
        <w:tc>
          <w:tcPr>
            <w:tcW w:type="dxa" w:w="2880"/>
          </w:tcPr>
          <w:p>
            <w:r>
              <w:rPr>
                <w:rFonts w:ascii="微软雅黑" w:hAnsi="微软雅黑" w:eastAsia="微软雅黑"/>
                <w:sz w:val="20"/>
              </w:rPr>
            </w:r>
            <w:r>
              <w:rPr>
                <w:rFonts w:ascii="微软雅黑" w:hAnsi="微软雅黑" w:eastAsia="微软雅黑"/>
                <w:sz w:val="20"/>
              </w:rPr>
              <w:t>申请人为持有权人自身，无需另行提供授权文件（据平台说明）</w:t>
            </w:r>
          </w:p>
        </w:tc>
        <w:tc>
          <w:tcPr>
            <w:tcW w:type="dxa" w:w="2880"/>
          </w:tcPr>
          <w:p>
            <w:r>
              <w:rPr>
                <w:rFonts w:ascii="微软雅黑" w:hAnsi="微软雅黑" w:eastAsia="微软雅黑"/>
                <w:sz w:val="20"/>
              </w:rPr>
            </w:r>
            <w:r>
              <w:rPr>
                <w:rFonts w:ascii="微软雅黑" w:hAnsi="微软雅黑" w:eastAsia="微软雅黑"/>
                <w:sz w:val="20"/>
              </w:rPr>
              <w:t>无需提供</w:t>
            </w:r>
          </w:p>
        </w:tc>
      </w:tr>
      <w:tr>
        <w:tc>
          <w:tcPr>
            <w:tcW w:type="dxa" w:w="2880"/>
            <w:shd w:fill="F5F7FA" w:val="clear"/>
          </w:tcPr>
          <w:p>
            <w:r>
              <w:rPr>
                <w:rFonts w:ascii="微软雅黑" w:hAnsi="微软雅黑" w:eastAsia="微软雅黑"/>
                <w:sz w:val="20"/>
              </w:rPr>
            </w:r>
            <w:r>
              <w:rPr>
                <w:rFonts w:ascii="微软雅黑" w:hAnsi="微软雅黑" w:eastAsia="微软雅黑"/>
                <w:sz w:val="20"/>
              </w:rPr>
              <w:t>2</w:t>
            </w:r>
          </w:p>
        </w:tc>
        <w:tc>
          <w:tcPr>
            <w:tcW w:type="dxa" w:w="2880"/>
            <w:shd w:fill="F5F7FA" w:val="clear"/>
          </w:tcPr>
          <w:p>
            <w:r>
              <w:rPr>
                <w:rFonts w:ascii="微软雅黑" w:hAnsi="微软雅黑" w:eastAsia="微软雅黑"/>
                <w:sz w:val="20"/>
              </w:rPr>
            </w:r>
            <w:r>
              <w:rPr>
                <w:rFonts w:ascii="微软雅黑" w:hAnsi="微软雅黑" w:eastAsia="微软雅黑"/>
                <w:sz w:val="20"/>
              </w:rPr>
              <w:t>数据来源佐证材料（与持有权一致）</w:t>
            </w:r>
          </w:p>
        </w:tc>
        <w:tc>
          <w:tcPr>
            <w:tcW w:type="dxa" w:w="2880"/>
            <w:shd w:fill="F5F7FA" w:val="clear"/>
          </w:tcPr>
          <w:p>
            <w:r>
              <w:rPr>
                <w:rFonts w:ascii="微软雅黑" w:hAnsi="微软雅黑" w:eastAsia="微软雅黑"/>
                <w:sz w:val="20"/>
              </w:rPr>
            </w:r>
            <w:r>
              <w:rPr>
                <w:rFonts w:ascii="微软雅黑" w:hAnsi="微软雅黑" w:eastAsia="微软雅黑"/>
                <w:sz w:val="20"/>
              </w:rPr>
              <w:t>待整理</w:t>
            </w:r>
          </w:p>
        </w:tc>
      </w:tr>
    </w:tbl>
    <w:p/>
    <w:p>
      <w:pPr>
        <w:spacing w:before="160" w:after="160"/>
      </w:pPr>
      <w:r>
        <w:rPr>
          <w:color w:val="BBBBBB"/>
          <w:sz w:val="16"/>
        </w:rPr>
        <w:t>──────────────────────────────────────────────────────────</w:t>
      </w:r>
    </w:p>
    <w:p>
      <w:pPr>
        <w:pStyle w:val="Heading2"/>
      </w:pPr>
      <w:r>
        <w:rPr>
          <w:rFonts w:ascii="微软雅黑" w:hAnsi="微软雅黑" w:eastAsia="微软雅黑"/>
          <w:color w:val="1A478A"/>
          <w:sz w:val="30"/>
        </w:rPr>
        <w:t>九、待办</w:t>
      </w:r>
    </w:p>
    <w:p>
      <w:pPr>
        <w:spacing w:after="120" w:line="336" w:lineRule="auto"/>
        <w:ind w:left="340"/>
      </w:pPr>
      <w:r>
        <w:rPr>
          <w:rFonts w:ascii="微软雅黑" w:hAnsi="微软雅黑" w:eastAsia="微软雅黑"/>
        </w:rPr>
        <w:t>补充「产权信息」页 1/6 中第 2 至 6 屏截图（含添加主体、各证明文件上传栏的具体要求）</w:t>
      </w:r>
    </w:p>
    <w:p>
      <w:pPr>
        <w:spacing w:after="120" w:line="336" w:lineRule="auto"/>
        <w:ind w:left="340"/>
      </w:pPr>
      <w:r>
        <w:rPr>
          <w:rFonts w:ascii="微软雅黑" w:hAnsi="微软雅黑" w:eastAsia="微软雅黑"/>
        </w:rPr>
        <w:t>补充第 1 步「基本信息」、第 3 步「附件材料」截图</w:t>
      </w:r>
    </w:p>
    <w:p>
      <w:pPr>
        <w:spacing w:after="120" w:line="336" w:lineRule="auto"/>
        <w:ind w:left="340"/>
      </w:pPr>
      <w:r>
        <w:rPr>
          <w:rFonts w:ascii="微软雅黑" w:hAnsi="微软雅黑" w:eastAsia="微软雅黑"/>
        </w:rPr>
        <w:t>确认用户协议、知情同意、脱敏政策是否已有原件（若无可起草，标注待公司确认落章）</w:t>
      </w:r>
    </w:p>
    <w:p>
      <w:pPr>
        <w:spacing w:after="120" w:line="336" w:lineRule="auto"/>
        <w:ind w:left="340"/>
      </w:pPr>
      <w:r>
        <w:rPr>
          <w:rFonts w:ascii="微软雅黑" w:hAnsi="微软雅黑" w:eastAsia="微软雅黑"/>
        </w:rPr>
        <w:t>权利期限若平台另有格式要求（如仅可填长期有效），按平台实际调整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