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【视频号 · 脚本第6支 · 5步序列第二循环·第1幕=政策立势】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序列说明：第一循环（政策立势痛点共鸣模式答案打消戒心实证收网）已于第5周收官。第6周起开启第二循环，仍按同一步序重走，本支=第1步·政策立势（换对象：从"有没有依据"换到"依据落在医院这一侧"）。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受众：医院决策者 / 医务科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时长：约 60 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【标题】政策说了"延伸"，落在医院这边到底是哪一步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【第1幕 · 3s · 开场立势】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画面：政策文件翻页特写，指尖停在标题行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字幕：延续性医疗，不是新提法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旁白：把治疗延伸到院外，不是这两年才有的新提法。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【第2幕 · 10s · 依据落点】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画面：三段关键词依次浮现——互联网+医疗健康 / 分级诊疗与双向转诊 / 延续性护理与随访管理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字幕：政策指向的是"连续性"，不是"多点服务"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旁白：从互联网加医疗健康，到分级诊疗，再到延续性护理，政策反复指向的是同一件事：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治疗不该因为患者出院而中断。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【第3幕 · 15s · 落到医院这一侧】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画面：院内的科室走廊，医生在电脑前调阅记录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字幕：主体不变 · 责任不变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旁白：但顺着这句话往下问，落点其实在医院这一侧：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方案由医院开，责任由医院担，收费由医院收。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院外那一段，是院内方案的延长线，不是一个新项目。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【第4幕 · 15s · 常见的错位】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画面：几份不同格式的表格并排，最后合成一张统一模板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字幕：卡住的不是依据，是位置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旁白：现实里最常见的卡点，不是政策允不允许，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而是这件事挂在哪个科、患者算谁的、记录算谁的。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位置没理顺，依据再充分也推不动。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【第5幕 · 12s · 给决策者的一句话】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画面：会议室，几个人围着一张纸上的四行字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字幕：谁开方 · 谁收费 · 谁负责 · 谁支撑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旁白：所以第一步不是采购，也不是动员，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是把这四行字写清楚：谁开方、谁收费、谁负责、谁支撑。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【第6幕 · 5s · 收尾】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画面：医院外景  居家场景，人物在按方案训练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字幕：院内—居家治疗闭环，医院主导 · 第三方赋能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旁白：位置对了，延续才真正开始。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【分镜要点】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全程不出现公司名、不出现具体医院名、不出现医生姓名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政策只作指向性引用，不逐字引条文编号、不承诺政策支持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口径：院内—居家治疗闭环；医院主导 · 第三方赋能；医疗主体、收费主体在医院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配图风格：留白 + 蓝绿主色，真实办公与临床场景优先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