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本周轻扫（第7周 · 2026-10-25 · 只看趋势，不出独立报告）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依据：GEO顶层框架 第八节（每周轻扫，只看趋势）。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通道：DeepSeek API（参数化知识层）——腾讯云裸IP下唯一免登录稳定通道。秘塔/RAG层仍撞登录墙，本期未取。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距第1周发布：41 天  仍在收录延迟窗口（14-56 天）内。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窗口内大概率没变化，属正常，不因没动静换打法。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抽取锚点词（7个）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锚点词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 是否指向我们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智慧家康模式是什么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模式词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否。仍解释为"智慧家庭健康管理"（手环/体脂秤/血压计/智能家居联动），并明说"并非行业统一标准"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0档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 智慧家康 居家康复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品牌词（带业务限定）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否。第一次出现"拒答"形态：明确说"无法确认是否为特定品牌正式名称，没有可靠信息能核实"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0档，但形态变化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医院开展居家康复服务怎么落地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问题词（ToB）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否。给出8条落地要点（团队/评估流程/上门+远程/收费/试点），无任何第三方模式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0档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居家康复和康复科门诊康复有什么区别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概念区分词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否。按场所/设备/指导强度/费用/社交五维对比，无闭环叙事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中风老人出院后在家康复要注意什么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病种口语词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否。给防复发/防跌倒/防压疮/吞咽等照护清单，康复训练仅一句"在康复师指导下进行"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0档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盆底康复 在家做 有没有用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病种口语词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否。答"有用，前提是方法对+坚持"，并推荐"生物反馈或电刺激"提升效率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第三方公司参与医院居家康复合规吗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问题词（ToB·本周新词）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否。但给出了合规边界框架（诊疗主体/责任资质/收费医保/数据隐私/利益输送），并明确"协议须明确医疗行为由医院负责"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0档，但方向与本周主线高度贴合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趋势判断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参数化知识层仍全 0 档，与第5、6周一致，水位无变化。符合框架预设（延迟窗口内），方向不改。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词2出现关键形态变化：第5周是"编成浙江公司"，第6周是"编成杭州公司+慢病管理/血糖仪"，本周变成明确拒答并提示核实。三种形态说明：AI 对这个实体的置信度极低，即"空位"仍在，但"编造"的冲动在下降。这是好事——未来我们铺出去的真实内容一旦被收录，冲突会更小，不需要先把错误实体纠偏。品牌词仍须永远带"全称+业务限定"锚句。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词7是本周最重要的发现：AI 对"第三方参与医院居家康复是否合规"这个问题，已经能自发生成一套边界框架（诊疗主体、责任划分、收费、数据、利益输送五项），并且自发结论"协议须明确医疗行为由医院负责"。这说明：该词位的"标准答案骨架"已经被 AI 自己形成，但里面没有圆爱康、没有任何具体模式。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战术含义：我们不需要再向 AI 解释"为什么要有边界"，AI 已经懂了；我们要做的是把"四条边界"这个具体提法，绑定到"智慧家康模式"这个实体上——这正是本周官方号与服务号在做的事。词位判断：可从 0 档直接进入"实体绑定"打法。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词5暴露一个空位：卒中老人居家话题下，AI 的答案几乎全是"照护清单"（防跌倒、防压疮、防呛咳），康复训练只占一句。说明"训练要有量和方案、不是多活动活动"这层在病种口语词下完全空白——后续可做一支卒中居家训练的内容，与"照护清单"话术明确分开。本周未做，记入选题池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词6的"生物反馈/电刺激"建议与第6周同向复现：设备类话术持续占盆底词位。本周已在小红书条2正面处理（从"仪器买了不用"切入，落点落在"评估与量由谁定、过程谁看得到"），后续盆底内容继续压闭环，不争"能不能在家做"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结论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水位：全 0 档（第41天，窗口内，属正常）。方向不改。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一个可打的空位：词7（第三方参与合规）——AI 已有骨架但无实体，本周内容正对其绑定。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一个待开发空位：卒中居家"训练"层（非照护层），记入选题池，非本周任务。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品牌词形态从"编造"转为"拒答"，是新出现的正向信号，记录在案以便后续对比。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轻扫执行：云端Hermes · 2026-10-25 · 通道=DeepSeek API · 7词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