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心脏康复服务包（通用版）结构表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2026-09-23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定位：通用版——不绑定某一家医院，医院按自身条件勾选院内模块即可落地。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用途：①销售/方案页骨架 ②系统开发依据 ③动作套组与视频脚本的挂载母表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一、服务包三层结构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谁提供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第一层 · 居家核心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固定，不可拆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心脏超声波治疗仪居家租赁 + 医生远程开方调方案 + 治疗数据落医生端 + 六师共管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圆爱康（设备+系统+服务）／医院（医生）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第二层 · 院内可选模块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医院按条件勾选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EECP、CPET、六分钟步行试验、各评估量表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医院（已有则勾，无则不勾）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第三层 · 患者可执行内容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配套，随第一层交付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运动疗法（按病种+心功能分级固定套组 + 动作视频 + 播完回传）、营养疗法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圆爱康（内容+系统）／医院（医生审定）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二、第一层 · 居家核心（固定项）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疗程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心脏超声波治疗仪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居家租赁，患者在家自行治疗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每日1次×30分钟，每疗程10次，建议1-3疗程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设备型号 SUT-C，注册证由注册人（天行健）提供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医生远程服务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线上评估解读、方案制定与调整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随疗程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由合作医院执业医师执行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数据服务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治疗数据落入圆爱康系统医生端，医生随时可见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医院需要时由圆爱康打包提供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医生/康复师/护士（院方）+ 线上客服/线下督导/设备工程师（我方）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全程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6个角色不等于6个人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说明：20次／40次／60次＝全部在家完成的疗程数（即2个、4个、6个疗程），不含院内。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三、第二层 · 院内可选模块（医院勾选表）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用法：医院在「有／无」栏打勾，有则纳入服务包，无则留空跳过。不强制、不替代医院既有项目。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医院有／无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纳入服务包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体外反搏 EECP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院内体外反搏治疗（每次约半小时）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心肺运动试验 CPET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院内心肺功能评估，确定安全运动阈值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六分钟步行试验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院内活动耐力评估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心脏彩超／射血分数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结构功能评估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动态心电图 Holter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心律评估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运动负荷心电图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心肌缺血筛查、安全运动阈值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血脂血糖等化验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危险因素评估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心理状态量表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焦虑抑郁筛查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睡眠呼吸评估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睡眠呼吸暂停排查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ADL 日常生活能力评估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自理能力评估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躯体化症状评估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躯体化量表筛查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便秘评估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便秘相关评估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营养体重管理处方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营养与体重管理方案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运动处方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运动方案制定（与动作套组配套）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 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已剔除项：原郑大二附院版服务包中"前列腺"相关评估属泌尿科项目，误植入心内包，本通用版不带。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四、第三层 · 患者可执行内容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4.1 运动疗法（本次新增·核心增量）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组织方式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按病种 + 心功能分级给固定套组，医生像选套餐一样选（例：心功能不全 II 级  A 套组）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交付形态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每套组配整套动作视频，患者打开跟着做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打卡方式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视频播放完成（或播至80%）才记入完成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数据回传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训练时长与完成度回传至圆爱康系统医生端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跟踪方式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医生端可见 + 客服按节点跟进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对外表述红线：只能说"训练时长与完成度可追踪"，绝不能说"能看到患者动作是否标准"——一旦这么说即承诺影像审核能力，出事要担责。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4.2 营养疗法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待查证后补（查证结论单独成件）。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五、医院设备勾选对照表（一页速览版）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医院条件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可勾选的院内模块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服务包完整度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三级医院·心脏康复中心齐全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EECP + CPET + 六分钟步行 + 全套评估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全套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三级医院·有心功能评估无 EECP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CPET 或 六分钟步行 + 彩超 + 化验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完整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二级医院·评估能力有限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六分钟步行 + 彩超 + 化验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基础版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社区／基层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无院内模块，仅慢病随访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仅居家核心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核心原则：院内模块可有可无，居家核心始终成立。 医院条件不足不影响项目落地——这正是居家模式的价值所在。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五点五、与现有版本（郑大二附院·试运行版）的差异说明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现有试运行版为「4 套餐 × 3 档（20/40/60次）= 12 行」，价格 1980／2980／3580 元。本通用版在其基础上做了以下修正：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现有试运行版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本通用版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套餐命名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「冠心病支架术后康复套餐」出现两次，区别仅在 EECP 与 CPET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按病种+心功能分级命名，套餐名唯一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避免同医院同套餐名重复，医生开单、患者下单不会选错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前列腺评估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出现在心内科服务包「服务内容」中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已剔除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属泌尿科项目，误植入；心内包带此项目会被心内科医生质疑专业度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EECP／CPET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直接写进每个套餐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列为院内可选模块，医院有才勾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非所有医院都有，硬写会导致承诺不能兑现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价格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20/40/60次 = 1980/2980/3580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〔待定〕，沿用结构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价格属商务口径，由 sandy 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疗程含义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未标注院内/居家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明确 20/40/60次＝全部在家做的次数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避免销售与客户理解偏差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六、待确认项（诚实标注）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各套组具体动作清单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〔待出·见运动疗法模块功能需求表〕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视频拍摄脚本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〔待出〕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营养疗法循证依据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〔待查证〕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套组数量与命名（A/B/C 还是按病种命名）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 sandy 拍板〕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价格结构（20/40/60次对应价格）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〔待补·参照郑大二附院版 1980/2980/3580〕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医生审定流程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〔待定〕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文档结束 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内部资料 · v1.0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