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A478A"/>
          <w:sz w:val="40"/>
        </w:rPr>
        <w:t>数据产权登记 · 填写稿（全栏）</w:t>
      </w:r>
    </w:p>
    <w:p>
      <w:pPr>
        <w:spacing w:after="120" w:line="336" w:lineRule="auto"/>
      </w:pPr>
      <w:r>
        <w:rPr>
          <w:rFonts w:ascii="微软雅黑" w:hAnsi="微软雅黑" w:eastAsia="微软雅黑"/>
        </w:rPr>
        <w:t>企业：广州圆爱康生物科技有限公司</w:t>
      </w:r>
    </w:p>
    <w:p>
      <w:pPr>
        <w:spacing w:after="120" w:line="336" w:lineRule="auto"/>
      </w:pPr>
      <w:r>
        <w:rPr>
          <w:rFonts w:ascii="微软雅黑" w:hAnsi="微软雅黑" w:eastAsia="微软雅黑"/>
        </w:rPr>
        <w:t>编制：云端小鲸鱼 · 2026-09-23</w:t>
      </w:r>
    </w:p>
    <w:p>
      <w:pPr>
        <w:spacing w:after="120" w:line="336" w:lineRule="auto"/>
      </w:pPr>
      <w:r>
        <w:rPr>
          <w:rFonts w:ascii="微软雅黑" w:hAnsi="微软雅黑" w:eastAsia="微软雅黑"/>
        </w:rPr>
        <w:t>用途：对照数据产权登记平台逐栏填写，可直接复制粘贴</w:t>
      </w:r>
    </w:p>
    <w:p>
      <w:pPr>
        <w:spacing w:before="160" w:after="160"/>
      </w:pPr>
      <w:r>
        <w:rPr>
          <w:color w:val="BBBBBB"/>
          <w:sz w:val="16"/>
        </w:rPr>
        <w:t>──────────────────────────────────────────────────────────</w:t>
      </w:r>
    </w:p>
    <w:p>
      <w:pPr>
        <w:pStyle w:val="Heading2"/>
      </w:pPr>
      <w:r>
        <w:rPr>
          <w:rFonts w:ascii="微软雅黑" w:hAnsi="微软雅黑" w:eastAsia="微软雅黑"/>
          <w:color w:val="1A478A"/>
          <w:sz w:val="30"/>
        </w:rPr>
        <w:t>使用说明</w:t>
      </w:r>
    </w:p>
    <w:p>
      <w:pPr>
        <w:spacing w:after="120" w:line="336" w:lineRule="auto"/>
      </w:pPr>
      <w:r>
        <w:rPr>
          <w:rFonts w:ascii="微软雅黑" w:hAnsi="微软雅黑" w:eastAsia="微软雅黑"/>
        </w:rPr>
        <w:t>本稿按平台栏目顺序排列，每一栏给出三样东西：</w:t>
      </w:r>
    </w:p>
    <w:p>
      <w:pPr>
        <w:pStyle w:val="ListBullet"/>
        <w:spacing w:after="60"/>
      </w:pPr>
      <w:r>
        <w:rPr>
          <w:rFonts w:ascii="微软雅黑" w:hAnsi="微软雅黑" w:eastAsia="微软雅黑"/>
        </w:rPr>
        <w:t>[填什么] 可直接复制的答案</w:t>
      </w:r>
    </w:p>
    <w:p>
      <w:pPr>
        <w:pStyle w:val="ListBullet"/>
        <w:spacing w:after="60"/>
      </w:pPr>
      <w:r>
        <w:rPr>
          <w:rFonts w:ascii="微软雅黑" w:hAnsi="微软雅黑" w:eastAsia="微软雅黑"/>
        </w:rPr>
        <w:t>[为什么] 评审若追问的理由</w:t>
      </w:r>
    </w:p>
    <w:p>
      <w:pPr>
        <w:pStyle w:val="ListBullet"/>
        <w:spacing w:after="60"/>
      </w:pPr>
      <w:r>
        <w:rPr>
          <w:rFonts w:ascii="微软雅黑" w:hAnsi="微软雅黑" w:eastAsia="微软雅黑"/>
        </w:rPr>
        <w:t>[材料] 需要上传的文件名</w:t>
      </w:r>
    </w:p>
    <w:p>
      <w:pPr>
        <w:spacing w:after="120" w:line="336" w:lineRule="auto"/>
      </w:pPr>
      <w:r>
        <w:rPr>
          <w:rFonts w:ascii="微软雅黑" w:hAnsi="微软雅黑" w:eastAsia="微软雅黑"/>
        </w:rPr>
        <w:t>标注含义：</w:t>
      </w:r>
    </w:p>
    <w:p>
      <w:pPr>
        <w:pStyle w:val="ListBullet"/>
        <w:spacing w:after="60"/>
      </w:pPr>
      <w:r>
        <w:rPr>
          <w:rFonts w:ascii="微软雅黑" w:hAnsi="微软雅黑" w:eastAsia="微软雅黑"/>
        </w:rPr>
        <w:t>数据来自技术同事提供的真实清单或可查证资质</w:t>
      </w:r>
    </w:p>
    <w:p>
      <w:pPr>
        <w:pStyle w:val="ListBullet"/>
        <w:spacing w:after="60"/>
      </w:pPr>
      <w:r>
        <w:rPr>
          <w:rFonts w:ascii="微软雅黑" w:hAnsi="微软雅黑" w:eastAsia="微软雅黑"/>
        </w:rPr>
        <w:t>[待确认] 需技术团队确认后填写</w:t>
      </w:r>
    </w:p>
    <w:p>
      <w:pPr>
        <w:pStyle w:val="ListBullet"/>
        <w:spacing w:after="60"/>
      </w:pPr>
      <w:r>
        <w:rPr>
          <w:rFonts w:ascii="微软雅黑" w:hAnsi="微软雅黑" w:eastAsia="微软雅黑"/>
        </w:rPr>
        <w:t>[待落章] 需公司确认并盖章后上传</w:t>
      </w:r>
    </w:p>
    <w:p>
      <w:pPr>
        <w:spacing w:before="160" w:after="160"/>
      </w:pPr>
      <w:r>
        <w:rPr>
          <w:color w:val="BBBBBB"/>
          <w:sz w:val="16"/>
        </w:rPr>
        <w:t>──────────────────────────────────────────────────────────</w:t>
      </w:r>
    </w:p>
    <w:p>
      <w:pPr>
        <w:pStyle w:val="Heading2"/>
      </w:pPr>
      <w:r>
        <w:rPr>
          <w:rFonts w:ascii="微软雅黑" w:hAnsi="微软雅黑" w:eastAsia="微软雅黑"/>
          <w:color w:val="1A478A"/>
          <w:sz w:val="30"/>
        </w:rPr>
        <w:t>一、主体基本信息</w:t>
      </w:r>
    </w:p>
    <w:p>
      <w:pPr>
        <w:pStyle w:val="Heading3"/>
      </w:pPr>
      <w:r>
        <w:rPr>
          <w:rFonts w:ascii="微软雅黑" w:hAnsi="微软雅黑" w:eastAsia="微软雅黑"/>
          <w:color w:val="2D5F9E"/>
          <w:sz w:val="26"/>
        </w:rPr>
        <w:t>1. 企业名称</w:t>
      </w:r>
    </w:p>
    <w:p>
      <w:pPr>
        <w:spacing w:after="120" w:line="336" w:lineRule="auto"/>
      </w:pPr>
      <w:r>
        <w:rPr>
          <w:rFonts w:ascii="微软雅黑" w:hAnsi="微软雅黑" w:eastAsia="微软雅黑"/>
        </w:rPr>
        <w:t>[填什么] 广州圆爱康生物科技有限公司</w:t>
      </w:r>
    </w:p>
    <w:p>
      <w:pPr>
        <w:spacing w:after="120" w:line="336" w:lineRule="auto"/>
      </w:pPr>
      <w:r>
        <w:rPr>
          <w:rFonts w:ascii="微软雅黑" w:hAnsi="微软雅黑" w:eastAsia="微软雅黑"/>
        </w:rPr>
        <w:t>[为什么] 平台登记主体须与营业执照一致</w:t>
      </w:r>
    </w:p>
    <w:p>
      <w:pPr>
        <w:spacing w:after="120" w:line="336" w:lineRule="auto"/>
      </w:pPr>
      <w:r>
        <w:rPr>
          <w:rFonts w:ascii="微软雅黑" w:hAnsi="微软雅黑" w:eastAsia="微软雅黑"/>
        </w:rPr>
        <w:t>[材料] 营业执照</w:t>
      </w:r>
    </w:p>
    <w:p>
      <w:pPr>
        <w:pStyle w:val="Heading3"/>
      </w:pPr>
      <w:r>
        <w:rPr>
          <w:rFonts w:ascii="微软雅黑" w:hAnsi="微软雅黑" w:eastAsia="微软雅黑"/>
          <w:color w:val="2D5F9E"/>
          <w:sz w:val="26"/>
        </w:rPr>
        <w:t>2. 注册地址</w:t>
      </w:r>
    </w:p>
    <w:p>
      <w:pPr>
        <w:spacing w:after="120" w:line="336" w:lineRule="auto"/>
      </w:pPr>
      <w:r>
        <w:rPr>
          <w:rFonts w:ascii="微软雅黑" w:hAnsi="微软雅黑" w:eastAsia="微软雅黑"/>
        </w:rPr>
        <w:t>[填什么] 广州市天河区高普路38号7层713房</w:t>
      </w:r>
    </w:p>
    <w:p>
      <w:pPr>
        <w:spacing w:after="120" w:line="336" w:lineRule="auto"/>
      </w:pPr>
      <w:r>
        <w:rPr>
          <w:rFonts w:ascii="微软雅黑" w:hAnsi="微软雅黑" w:eastAsia="微软雅黑"/>
        </w:rPr>
        <w:t>[材料] 营业执照</w:t>
      </w:r>
    </w:p>
    <w:p>
      <w:pPr>
        <w:pStyle w:val="Heading3"/>
      </w:pPr>
      <w:r>
        <w:rPr>
          <w:rFonts w:ascii="微软雅黑" w:hAnsi="微软雅黑" w:eastAsia="微软雅黑"/>
          <w:color w:val="2D5F9E"/>
          <w:sz w:val="26"/>
        </w:rPr>
        <w:t>3. 统一社会信用代码</w:t>
      </w:r>
    </w:p>
    <w:p>
      <w:pPr>
        <w:spacing w:after="120" w:line="336" w:lineRule="auto"/>
      </w:pPr>
      <w:r>
        <w:rPr>
          <w:rFonts w:ascii="微软雅黑" w:hAnsi="微软雅黑" w:eastAsia="微软雅黑"/>
        </w:rPr>
        <w:t>[填什么] 91440101MA5CBEHG5D</w:t>
      </w:r>
    </w:p>
    <w:p>
      <w:pPr>
        <w:spacing w:after="120" w:line="336" w:lineRule="auto"/>
      </w:pPr>
      <w:r>
        <w:rPr>
          <w:rFonts w:ascii="微软雅黑" w:hAnsi="微软雅黑" w:eastAsia="微软雅黑"/>
        </w:rPr>
        <w:t>[材料] 营业执照</w:t>
      </w:r>
    </w:p>
    <w:p>
      <w:pPr>
        <w:pStyle w:val="Heading3"/>
      </w:pPr>
      <w:r>
        <w:rPr>
          <w:rFonts w:ascii="微软雅黑" w:hAnsi="微软雅黑" w:eastAsia="微软雅黑"/>
          <w:color w:val="2D5F9E"/>
          <w:sz w:val="26"/>
        </w:rPr>
        <w:t>4. 经营范围</w:t>
      </w:r>
    </w:p>
    <w:p>
      <w:pPr>
        <w:spacing w:after="120" w:line="336" w:lineRule="auto"/>
      </w:pPr>
      <w:r>
        <w:rPr>
          <w:rFonts w:ascii="微软雅黑" w:hAnsi="微软雅黑" w:eastAsia="微软雅黑"/>
        </w:rPr>
        <w:t>[填什么] 以营业执照登记为准，照抄。（建议本次登记聚焦"信息技术服务、数据处理"相关表述，无需扩充）</w:t>
      </w:r>
    </w:p>
    <w:p>
      <w:pPr>
        <w:spacing w:after="120" w:line="336" w:lineRule="auto"/>
      </w:pPr>
      <w:r>
        <w:rPr>
          <w:rFonts w:ascii="微软雅黑" w:hAnsi="微软雅黑" w:eastAsia="微软雅黑"/>
        </w:rPr>
        <w:t>[材料] 营业执照</w:t>
      </w:r>
    </w:p>
    <w:p>
      <w:pPr>
        <w:spacing w:before="160" w:after="160"/>
      </w:pPr>
      <w:r>
        <w:rPr>
          <w:color w:val="BBBBBB"/>
          <w:sz w:val="16"/>
        </w:rPr>
        <w:t>──────────────────────────────────────────────────────────</w:t>
      </w:r>
    </w:p>
    <w:p>
      <w:pPr>
        <w:pStyle w:val="Heading2"/>
      </w:pPr>
      <w:r>
        <w:rPr>
          <w:rFonts w:ascii="微软雅黑" w:hAnsi="微软雅黑" w:eastAsia="微软雅黑"/>
          <w:color w:val="1A478A"/>
          <w:sz w:val="30"/>
        </w:rPr>
        <w:t>二、数据基本特性</w:t>
      </w:r>
    </w:p>
    <w:p>
      <w:pPr>
        <w:pStyle w:val="Heading3"/>
      </w:pPr>
      <w:r>
        <w:rPr>
          <w:rFonts w:ascii="微软雅黑" w:hAnsi="微软雅黑" w:eastAsia="微软雅黑"/>
          <w:color w:val="2D5F9E"/>
          <w:sz w:val="26"/>
        </w:rPr>
        <w:t>5. 数据名称</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2022年11月至今居家康复治疗与服务协同全过程数据集（累计记录逾32万条）</w:t>
      </w:r>
    </w:p>
    <w:p>
      <w:pPr>
        <w:spacing w:after="120" w:line="336" w:lineRule="auto"/>
      </w:pPr>
      <w:r>
        <w:rPr>
          <w:rFonts w:ascii="微软雅黑" w:hAnsi="微软雅黑" w:eastAsia="微软雅黑"/>
        </w:rPr>
        <w:t>[备选简版] 若平台名称栏有字数限制：2022年11月至今居家康复治疗与服务协同数据集</w:t>
      </w:r>
    </w:p>
    <w:p>
      <w:pPr>
        <w:spacing w:after="120" w:line="336" w:lineRule="auto"/>
      </w:pPr>
      <w:r>
        <w:rPr>
          <w:rFonts w:ascii="微软雅黑" w:hAnsi="微软雅黑" w:eastAsia="微软雅黑"/>
        </w:rPr>
        <w:t>[为什么] 32万条 = 处方执行记录244,049条 + 多师共管群记录67,754条 + 服务评估记录14,830条，合计约326,633条。其中24.4万条为处方执行层记录，是数据集主体。</w:t>
      </w:r>
    </w:p>
    <w:p>
      <w:pPr>
        <w:spacing w:after="120" w:line="336" w:lineRule="auto"/>
      </w:pPr>
      <w:r>
        <w:rPr>
          <w:rFonts w:ascii="微软雅黑" w:hAnsi="微软雅黑" w:eastAsia="微软雅黑"/>
        </w:rPr>
        <w:t>[材料] 无</w:t>
      </w:r>
    </w:p>
    <w:p>
      <w:pPr>
        <w:pStyle w:val="Heading3"/>
      </w:pPr>
      <w:r>
        <w:rPr>
          <w:rFonts w:ascii="微软雅黑" w:hAnsi="微软雅黑" w:eastAsia="微软雅黑"/>
          <w:color w:val="2D5F9E"/>
          <w:sz w:val="26"/>
        </w:rPr>
        <w:t>6. 数据概述</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本数据集由广州圆爱康生物科技有限公司自有服务平台、物联网系统与多师服务团队，在提供居家康复技术支持与远程服务协同过程中直接产生并持续采集形成，数据时间跨度为2022年11月至今。</w:t>
      </w:r>
    </w:p>
    <w:p>
      <w:pPr>
        <w:spacing w:after="120" w:line="336" w:lineRule="auto"/>
      </w:pPr>
      <w:r>
        <w:rPr>
          <w:rFonts w:ascii="微软雅黑" w:hAnsi="微软雅黑" w:eastAsia="微软雅黑"/>
        </w:rPr>
        <w:t>数据采集场景为患者真实居家环境，覆盖盆底功能障碍性疾病相关（含盆底康复、尿失禁、盆腔器官脱垂、尿潴留、阴道松弛、性功能障碍、慢性盆腔疼痛、便秘等）、产后康复相关（含泌乳、子宫复旧、腹直肌分离、产后疼痛等）及镇痛，共12类以上康复病种，涵盖不同年龄段、不同康复周期阶段的使用者，累计覆盖15,257名实际接受康复治疗的使用者。</w:t>
      </w:r>
    </w:p>
    <w:p>
      <w:pPr>
        <w:spacing w:after="120" w:line="336" w:lineRule="auto"/>
      </w:pPr>
      <w:r>
        <w:rPr>
          <w:rFonts w:ascii="微软雅黑" w:hAnsi="微软雅黑" w:eastAsia="微软雅黑"/>
        </w:rPr>
        <w:t>数据内容由四个层次构成：</w:t>
      </w:r>
    </w:p>
    <w:p>
      <w:pPr>
        <w:spacing w:after="120" w:line="336" w:lineRule="auto"/>
      </w:pPr>
      <w:r>
        <w:rPr>
          <w:rFonts w:ascii="微软雅黑" w:hAnsi="微软雅黑" w:eastAsia="微软雅黑"/>
        </w:rPr>
        <w:t>一是方案与疗程层——康复训练方案、疗程划分、疗程阶段、方案状态与完成时间等，记录使用者自建档后由合作医疗机构专业人员评估开方、进入康复疗程的初始结构信息；</w:t>
      </w:r>
    </w:p>
    <w:p>
      <w:pPr>
        <w:spacing w:after="120" w:line="336" w:lineRule="auto"/>
      </w:pPr>
      <w:r>
        <w:rPr>
          <w:rFonts w:ascii="微软雅黑" w:hAnsi="微软雅黑" w:eastAsia="微软雅黑"/>
        </w:rPr>
        <w:t>二是处方执行层——治疗处方名称、单次治疗时长、治疗开始与结束时间、使用设备编号、治疗电流参数、处方治疗波形图等，完整记录每一次居家康复训练的执行细节；</w:t>
      </w:r>
    </w:p>
    <w:p>
      <w:pPr>
        <w:spacing w:after="120" w:line="336" w:lineRule="auto"/>
      </w:pPr>
      <w:r>
        <w:rPr>
          <w:rFonts w:ascii="微软雅黑" w:hAnsi="微软雅黑" w:eastAsia="微软雅黑"/>
        </w:rPr>
        <w:t>三是设备运行与生理反馈层——设备连接与运行日志、设备端采集的生理反馈参数等，体现设备在居家场景的真实使用情况；</w:t>
      </w:r>
    </w:p>
    <w:p>
      <w:pPr>
        <w:spacing w:after="120" w:line="336" w:lineRule="auto"/>
      </w:pPr>
      <w:r>
        <w:rPr>
          <w:rFonts w:ascii="微软雅黑" w:hAnsi="微软雅黑" w:eastAsia="微软雅黑"/>
        </w:rPr>
        <w:t>四是多师服务协同层——多师团队（专科医生、治疗师、专科护师、线下督导、设备工程师、线上专业客服）在圆爱康服务系统内完成的评估、方案调整、随访跟进、指导记录与效果评估等信息，以及多师协同会话记录，累计形成2,435个多师共管服务群、67,754条协同服务记录。</w:t>
      </w:r>
    </w:p>
    <w:p>
      <w:pPr>
        <w:spacing w:after="120" w:line="336" w:lineRule="auto"/>
      </w:pPr>
      <w:r>
        <w:rPr>
          <w:rFonts w:ascii="微软雅黑" w:hAnsi="微软雅黑" w:eastAsia="微软雅黑"/>
        </w:rPr>
        <w:t>本数据集以记录条目计累计逾32万条，完整记录使用者自方案下达、疗程执行、处方训练、设备数据回传、多师远程随访到阶段性效果评估的全流程居家康复闭环，单个完整闭环周期内含数十条多维度记录。可用于居家康复方案的个体化优化、康复效果量化评估、不同病种居家康复规律研究，以及居家康复服务质量的持续改进，为居家康复服务模式的标准化推广提供数据支撑。</w:t>
      </w:r>
    </w:p>
    <w:p>
      <w:pPr>
        <w:spacing w:after="120" w:line="336" w:lineRule="auto"/>
      </w:pPr>
      <w:r>
        <w:rPr>
          <w:rFonts w:ascii="微软雅黑" w:hAnsi="微软雅黑" w:eastAsia="微软雅黑"/>
        </w:rPr>
        <w:t>[为什么] 这是数据集的完整画像，评审靠它判断数据是否有实质内容、是否具备登记价值。</w:t>
      </w:r>
    </w:p>
    <w:p>
      <w:pPr>
        <w:spacing w:after="120" w:line="336" w:lineRule="auto"/>
      </w:pPr>
      <w:r>
        <w:rPr>
          <w:rFonts w:ascii="微软雅黑" w:hAnsi="微软雅黑" w:eastAsia="微软雅黑"/>
        </w:rPr>
        <w:t>[材料] 无</w:t>
      </w:r>
    </w:p>
    <w:p>
      <w:pPr>
        <w:pStyle w:val="Heading3"/>
      </w:pPr>
      <w:r>
        <w:rPr>
          <w:rFonts w:ascii="微软雅黑" w:hAnsi="微软雅黑" w:eastAsia="微软雅黑"/>
          <w:color w:val="2D5F9E"/>
          <w:sz w:val="26"/>
        </w:rPr>
        <w:t>7. 所属行业</w:t>
      </w:r>
    </w:p>
    <w:p>
      <w:pPr>
        <w:spacing w:after="120" w:line="336" w:lineRule="auto"/>
      </w:pPr>
      <w:r>
        <w:rPr>
          <w:rFonts w:ascii="微软雅黑" w:hAnsi="微软雅黑" w:eastAsia="微软雅黑"/>
        </w:rPr>
        <w:t>[填什么] 卫生和社会工作</w:t>
      </w:r>
    </w:p>
    <w:p>
      <w:pPr>
        <w:spacing w:after="120" w:line="336" w:lineRule="auto"/>
      </w:pPr>
      <w:r>
        <w:rPr>
          <w:rFonts w:ascii="微软雅黑" w:hAnsi="微软雅黑" w:eastAsia="微软雅黑"/>
        </w:rPr>
        <w:t>[备选] 若平台可多选，建议主选"卫生和社会工作"，辅选"信息传输、软件和信息技术服务业"</w:t>
      </w:r>
    </w:p>
    <w:p>
      <w:pPr>
        <w:spacing w:after="120" w:line="336" w:lineRule="auto"/>
      </w:pPr>
      <w:r>
        <w:rPr>
          <w:rFonts w:ascii="微软雅黑" w:hAnsi="微软雅黑" w:eastAsia="微软雅黑"/>
        </w:rPr>
        <w:t>[为什么] 数据产生场景为康复服务，主体业务性质为医疗健康服务</w:t>
      </w:r>
    </w:p>
    <w:p>
      <w:pPr>
        <w:pStyle w:val="Heading3"/>
      </w:pPr>
      <w:r>
        <w:rPr>
          <w:rFonts w:ascii="微软雅黑" w:hAnsi="微软雅黑" w:eastAsia="微软雅黑"/>
          <w:color w:val="2D5F9E"/>
          <w:sz w:val="26"/>
        </w:rPr>
        <w:t>8. 登记对象</w:t>
      </w:r>
    </w:p>
    <w:p>
      <w:pPr>
        <w:spacing w:after="120" w:line="336" w:lineRule="auto"/>
      </w:pPr>
      <w:r>
        <w:rPr>
          <w:rFonts w:ascii="微软雅黑" w:hAnsi="微软雅黑" w:eastAsia="微软雅黑"/>
        </w:rPr>
        <w:t>[填什么] 数据集（结构化数据集）</w:t>
      </w:r>
    </w:p>
    <w:p>
      <w:pPr>
        <w:spacing w:after="120" w:line="336" w:lineRule="auto"/>
      </w:pPr>
      <w:r>
        <w:rPr>
          <w:rFonts w:ascii="微软雅黑" w:hAnsi="微软雅黑" w:eastAsia="微软雅黑"/>
        </w:rPr>
        <w:t>[为什么] 本次登记对象为持续采集形成的整体数据集，非单条数据、非数据库软件</w:t>
      </w:r>
    </w:p>
    <w:p>
      <w:pPr>
        <w:pStyle w:val="Heading3"/>
      </w:pPr>
      <w:r>
        <w:rPr>
          <w:rFonts w:ascii="微软雅黑" w:hAnsi="微软雅黑" w:eastAsia="微软雅黑"/>
          <w:color w:val="2D5F9E"/>
          <w:sz w:val="26"/>
        </w:rPr>
        <w:t>9. 数字经济及其核心产业统计分类代码</w:t>
      </w:r>
    </w:p>
    <w:p>
      <w:pPr>
        <w:spacing w:after="120" w:line="336" w:lineRule="auto"/>
      </w:pPr>
      <w:r>
        <w:rPr>
          <w:rFonts w:ascii="微软雅黑" w:hAnsi="微软雅黑" w:eastAsia="微软雅黑"/>
        </w:rPr>
        <w:t>[填什么] 030306 互联网数据服务</w:t>
      </w:r>
    </w:p>
    <w:p>
      <w:pPr>
        <w:spacing w:after="120" w:line="336" w:lineRule="auto"/>
      </w:pPr>
      <w:r>
        <w:rPr>
          <w:rFonts w:ascii="微软雅黑" w:hAnsi="微软雅黑" w:eastAsia="微软雅黑"/>
        </w:rPr>
        <w:t>[完整层级] 大类 03 数字技术应用业  中类 0303 互联网相关服务  小类 030306 互联网数据服务</w:t>
      </w:r>
    </w:p>
    <w:p>
      <w:pPr>
        <w:spacing w:after="120" w:line="336" w:lineRule="auto"/>
      </w:pPr>
      <w:r>
        <w:rPr>
          <w:rFonts w:ascii="微软雅黑" w:hAnsi="微软雅黑" w:eastAsia="微软雅黑"/>
        </w:rPr>
        <w:t>[官方定义] 指以互联网技术为基础的大数据处理、云存储、云计算、云加工、区块链等服务活动。</w:t>
      </w:r>
    </w:p>
    <w:p>
      <w:pPr>
        <w:spacing w:after="120" w:line="336" w:lineRule="auto"/>
      </w:pPr>
      <w:r>
        <w:rPr>
          <w:rFonts w:ascii="微软雅黑" w:hAnsi="微软雅黑" w:eastAsia="微软雅黑"/>
        </w:rPr>
        <w:t>[为什么选它] 本数据集的形成方式为设备端采集、物联网回传、平台加工存储、医生端调用，与"大数据处理、云存储、云加工"定义直接对应。</w:t>
      </w:r>
    </w:p>
    <w:p>
      <w:pPr>
        <w:spacing w:after="120" w:line="336" w:lineRule="auto"/>
      </w:pPr>
      <w:r>
        <w:rPr>
          <w:rFonts w:ascii="微软雅黑" w:hAnsi="微软雅黑" w:eastAsia="微软雅黑"/>
        </w:rPr>
        <w:t>[备选代码]</w:t>
      </w:r>
    </w:p>
    <w:p>
      <w:pPr>
        <w:pStyle w:val="ListBullet"/>
        <w:spacing w:after="60"/>
      </w:pPr>
      <w:r>
        <w:rPr>
          <w:rFonts w:ascii="微软雅黑" w:hAnsi="微软雅黑" w:eastAsia="微软雅黑"/>
        </w:rPr>
        <w:t>030403 物联网技术服务——若平台侧重"设备接入"环节</w:t>
      </w:r>
    </w:p>
    <w:p>
      <w:pPr>
        <w:pStyle w:val="ListBullet"/>
        <w:spacing w:after="60"/>
      </w:pPr>
      <w:r>
        <w:rPr>
          <w:rFonts w:ascii="微软雅黑" w:hAnsi="微软雅黑" w:eastAsia="微软雅黑"/>
        </w:rPr>
        <w:t>030405 信息处理和存储支持服务——若平台侧重"数据的分析、整理、计算、存储"</w:t>
      </w:r>
    </w:p>
    <w:p>
      <w:pPr>
        <w:spacing w:after="120" w:line="336" w:lineRule="auto"/>
      </w:pPr>
      <w:r>
        <w:rPr>
          <w:rFonts w:ascii="微软雅黑" w:hAnsi="微软雅黑" w:eastAsia="微软雅黑"/>
        </w:rPr>
        <w:t>[注意] 编码规则为大类2位、中类4位、小类6位。互联网数据服务的完整代码为030306，不是5位。</w:t>
      </w:r>
    </w:p>
    <w:p>
      <w:pPr>
        <w:spacing w:after="120" w:line="336" w:lineRule="auto"/>
      </w:pPr>
      <w:r>
        <w:rPr>
          <w:rFonts w:ascii="微软雅黑" w:hAnsi="微软雅黑" w:eastAsia="微软雅黑"/>
        </w:rPr>
        <w:t>[来源] 《数字经济及其核心产业统计分类（2021）》，国家统计局令第33号</w:t>
      </w:r>
    </w:p>
    <w:p>
      <w:pPr>
        <w:spacing w:after="120" w:line="336" w:lineRule="auto"/>
      </w:pPr>
      <w:r>
        <w:rPr>
          <w:rFonts w:ascii="微软雅黑" w:hAnsi="微软雅黑" w:eastAsia="微软雅黑"/>
        </w:rPr>
        <w:t>[材料] 分类文件原文备查</w:t>
      </w:r>
    </w:p>
    <w:p>
      <w:pPr>
        <w:spacing w:before="160" w:after="160"/>
      </w:pPr>
      <w:r>
        <w:rPr>
          <w:color w:val="BBBBBB"/>
          <w:sz w:val="16"/>
        </w:rPr>
        <w:t>──────────────────────────────────────────────────────────</w:t>
      </w:r>
    </w:p>
    <w:p>
      <w:pPr>
        <w:pStyle w:val="Heading2"/>
      </w:pPr>
      <w:r>
        <w:rPr>
          <w:rFonts w:ascii="微软雅黑" w:hAnsi="微软雅黑" w:eastAsia="微软雅黑"/>
          <w:color w:val="1A478A"/>
          <w:sz w:val="30"/>
        </w:rPr>
        <w:t>三、数据形态与规模</w:t>
      </w:r>
    </w:p>
    <w:p>
      <w:pPr>
        <w:pStyle w:val="Heading3"/>
      </w:pPr>
      <w:r>
        <w:rPr>
          <w:rFonts w:ascii="微软雅黑" w:hAnsi="微软雅黑" w:eastAsia="微软雅黑"/>
          <w:color w:val="2D5F9E"/>
          <w:sz w:val="26"/>
        </w:rPr>
        <w:t>10. 数据结构类型</w:t>
      </w:r>
    </w:p>
    <w:p>
      <w:pPr>
        <w:spacing w:after="120" w:line="336" w:lineRule="auto"/>
      </w:pPr>
      <w:r>
        <w:rPr>
          <w:rFonts w:ascii="微软雅黑" w:hAnsi="微软雅黑" w:eastAsia="微软雅黑"/>
        </w:rPr>
        <w:t>[填什么] 结构化</w:t>
      </w:r>
    </w:p>
    <w:p>
      <w:pPr>
        <w:spacing w:after="120" w:line="336" w:lineRule="auto"/>
      </w:pPr>
      <w:r>
        <w:rPr>
          <w:rFonts w:ascii="微软雅黑" w:hAnsi="微软雅黑" w:eastAsia="微软雅黑"/>
        </w:rPr>
        <w:t>[为什么] 数据集主体为数据库表记录，字段固定、格式统一，可直接统计分析</w:t>
      </w:r>
    </w:p>
    <w:p>
      <w:pPr>
        <w:spacing w:after="120" w:line="336" w:lineRule="auto"/>
      </w:pPr>
      <w:r>
        <w:rPr>
          <w:rFonts w:ascii="微软雅黑" w:hAnsi="微软雅黑" w:eastAsia="微软雅黑"/>
        </w:rPr>
        <w:t>[材料] 无</w:t>
      </w:r>
    </w:p>
    <w:p>
      <w:pPr>
        <w:pStyle w:val="Heading3"/>
      </w:pPr>
      <w:r>
        <w:rPr>
          <w:rFonts w:ascii="微软雅黑" w:hAnsi="微软雅黑" w:eastAsia="微软雅黑"/>
          <w:color w:val="2D5F9E"/>
          <w:sz w:val="26"/>
        </w:rPr>
        <w:t>11. 数据形态</w:t>
      </w:r>
    </w:p>
    <w:p>
      <w:pPr>
        <w:spacing w:after="120" w:line="336" w:lineRule="auto"/>
      </w:pPr>
      <w:r>
        <w:rPr>
          <w:rFonts w:ascii="微软雅黑" w:hAnsi="微软雅黑" w:eastAsia="微软雅黑"/>
        </w:rPr>
        <w:t>[填什么] 表格 + 文本</w:t>
      </w:r>
    </w:p>
    <w:p>
      <w:pPr>
        <w:spacing w:after="120" w:line="336" w:lineRule="auto"/>
      </w:pPr>
      <w:r>
        <w:rPr>
          <w:rFonts w:ascii="微软雅黑" w:hAnsi="微软雅黑" w:eastAsia="微软雅黑"/>
        </w:rPr>
        <w:t>[为什么]</w:t>
      </w:r>
    </w:p>
    <w:p>
      <w:pPr>
        <w:pStyle w:val="ListBullet"/>
        <w:spacing w:after="60"/>
      </w:pPr>
      <w:r>
        <w:rPr>
          <w:rFonts w:ascii="微软雅黑" w:hAnsi="微软雅黑" w:eastAsia="微软雅黑"/>
        </w:rPr>
        <w:t>表格——设备参数、治疗时长、电流参数、频次、评分等数值型记录</w:t>
      </w:r>
    </w:p>
    <w:p>
      <w:pPr>
        <w:pStyle w:val="ListBullet"/>
        <w:spacing w:after="60"/>
      </w:pPr>
      <w:r>
        <w:rPr>
          <w:rFonts w:ascii="微软雅黑" w:hAnsi="微软雅黑" w:eastAsia="微软雅黑"/>
        </w:rPr>
        <w:t>文本——医生评估意见、患者自述、多师协同会话内容等文本型记录</w:t>
      </w:r>
    </w:p>
    <w:p>
      <w:pPr>
        <w:spacing w:after="120" w:line="336" w:lineRule="auto"/>
      </w:pPr>
      <w:r>
        <w:rPr>
          <w:rFonts w:ascii="微软雅黑" w:hAnsi="微软雅黑" w:eastAsia="微软雅黑"/>
        </w:rPr>
        <w:t>两类形态均实际存在，只选一项会遗漏另一类价值。</w:t>
      </w:r>
    </w:p>
    <w:p>
      <w:pPr>
        <w:spacing w:after="120" w:line="336" w:lineRule="auto"/>
      </w:pPr>
      <w:r>
        <w:rPr>
          <w:rFonts w:ascii="微软雅黑" w:hAnsi="微软雅黑" w:eastAsia="微软雅黑"/>
        </w:rPr>
        <w:t>[材料] 无</w:t>
      </w:r>
    </w:p>
    <w:p>
      <w:pPr>
        <w:pStyle w:val="Heading3"/>
      </w:pPr>
      <w:r>
        <w:rPr>
          <w:rFonts w:ascii="微软雅黑" w:hAnsi="微软雅黑" w:eastAsia="微软雅黑"/>
          <w:color w:val="2D5F9E"/>
          <w:sz w:val="26"/>
        </w:rPr>
        <w:t>12. 数据规模</w:t>
      </w:r>
    </w:p>
    <w:p>
      <w:pPr>
        <w:spacing w:after="120" w:line="336" w:lineRule="auto"/>
      </w:pPr>
      <w:r>
        <w:rPr>
          <w:rFonts w:ascii="微软雅黑" w:hAnsi="微软雅黑" w:eastAsia="微软雅黑"/>
        </w:rPr>
        <w:t>[填什么] 累计逾32万条记录，覆盖15,257名使用者</w:t>
      </w:r>
    </w:p>
    <w:p>
      <w:pPr>
        <w:spacing w:after="120" w:line="336" w:lineRule="auto"/>
      </w:pPr>
      <w:r>
        <w:rPr>
          <w:rFonts w:ascii="微软雅黑" w:hAnsi="微软雅黑" w:eastAsia="微软雅黑"/>
        </w:rPr>
        <w:t>[分项口径]</w:t>
      </w:r>
    </w:p>
    <w:p>
      <w:pPr>
        <w:pStyle w:val="ListBullet"/>
        <w:spacing w:after="60"/>
      </w:pPr>
      <w:r>
        <w:rPr>
          <w:rFonts w:ascii="微软雅黑" w:hAnsi="微软雅黑" w:eastAsia="微软雅黑"/>
        </w:rPr>
        <w:t>处方执行记录：244,049条</w:t>
      </w:r>
    </w:p>
    <w:p>
      <w:pPr>
        <w:pStyle w:val="ListBullet"/>
        <w:spacing w:after="60"/>
      </w:pPr>
      <w:r>
        <w:rPr>
          <w:rFonts w:ascii="微软雅黑" w:hAnsi="微软雅黑" w:eastAsia="微软雅黑"/>
        </w:rPr>
        <w:t>多师共管群记录：67,754条</w:t>
      </w:r>
    </w:p>
    <w:p>
      <w:pPr>
        <w:pStyle w:val="ListBullet"/>
        <w:spacing w:after="60"/>
      </w:pPr>
      <w:r>
        <w:rPr>
          <w:rFonts w:ascii="微软雅黑" w:hAnsi="微软雅黑" w:eastAsia="微软雅黑"/>
        </w:rPr>
        <w:t>服务评估记录：14,830条</w:t>
      </w:r>
    </w:p>
    <w:p>
      <w:pPr>
        <w:pStyle w:val="ListBullet"/>
        <w:spacing w:after="60"/>
      </w:pPr>
      <w:r>
        <w:rPr>
          <w:rFonts w:ascii="微软雅黑" w:hAnsi="微软雅黑" w:eastAsia="微软雅黑"/>
        </w:rPr>
        <w:t>多师共管服务群：2,435个</w:t>
      </w:r>
    </w:p>
    <w:p>
      <w:pPr>
        <w:pStyle w:val="ListBullet"/>
        <w:spacing w:after="60"/>
      </w:pPr>
      <w:r>
        <w:rPr>
          <w:rFonts w:ascii="微软雅黑" w:hAnsi="微软雅黑" w:eastAsia="微软雅黑"/>
        </w:rPr>
        <w:t>使用者总数：15,257名（去重后实际产生过治疗的用户）</w:t>
      </w:r>
    </w:p>
    <w:p>
      <w:pPr>
        <w:spacing w:after="120" w:line="336" w:lineRule="auto"/>
      </w:pPr>
      <w:r>
        <w:rPr>
          <w:rFonts w:ascii="微软雅黑" w:hAnsi="微软雅黑" w:eastAsia="微软雅黑"/>
        </w:rPr>
        <w:t>[注意] 注册用户10万+不作为登记口径，以实际产生治疗的用户数为准</w:t>
      </w:r>
    </w:p>
    <w:p>
      <w:pPr>
        <w:spacing w:after="120" w:line="336" w:lineRule="auto"/>
      </w:pPr>
      <w:r>
        <w:rPr>
          <w:rFonts w:ascii="微软雅黑" w:hAnsi="微软雅黑" w:eastAsia="微软雅黑"/>
        </w:rPr>
        <w:t>[材料] 数据清单表</w:t>
      </w:r>
    </w:p>
    <w:p>
      <w:pPr>
        <w:pStyle w:val="Heading3"/>
      </w:pPr>
      <w:r>
        <w:rPr>
          <w:rFonts w:ascii="微软雅黑" w:hAnsi="微软雅黑" w:eastAsia="微软雅黑"/>
          <w:color w:val="2D5F9E"/>
          <w:sz w:val="26"/>
        </w:rPr>
        <w:t>13. 数据量级</w:t>
      </w:r>
    </w:p>
    <w:p>
      <w:pPr>
        <w:spacing w:after="120" w:line="336" w:lineRule="auto"/>
      </w:pPr>
      <w:r>
        <w:rPr>
          <w:rFonts w:ascii="微软雅黑" w:hAnsi="微软雅黑" w:eastAsia="微软雅黑"/>
        </w:rPr>
        <w:t>[填什么] 十万级（以记录条目计，逾32万条）</w:t>
      </w:r>
    </w:p>
    <w:p>
      <w:pPr>
        <w:spacing w:after="120" w:line="336" w:lineRule="auto"/>
      </w:pPr>
      <w:r>
        <w:rPr>
          <w:rFonts w:ascii="微软雅黑" w:hAnsi="微软雅黑" w:eastAsia="微软雅黑"/>
        </w:rPr>
        <w:t>[为什么] 按平台量级分档，32万条落于十万级区间</w:t>
      </w:r>
    </w:p>
    <w:p>
      <w:pPr>
        <w:pStyle w:val="Heading3"/>
      </w:pPr>
      <w:r>
        <w:rPr>
          <w:rFonts w:ascii="微软雅黑" w:hAnsi="微软雅黑" w:eastAsia="微软雅黑"/>
          <w:color w:val="2D5F9E"/>
          <w:sz w:val="26"/>
        </w:rPr>
        <w:t>14. 地域范围</w:t>
      </w:r>
    </w:p>
    <w:p>
      <w:pPr>
        <w:spacing w:after="120" w:line="336" w:lineRule="auto"/>
      </w:pPr>
      <w:r>
        <w:rPr>
          <w:rFonts w:ascii="微软雅黑" w:hAnsi="微软雅黑" w:eastAsia="微软雅黑"/>
        </w:rPr>
        <w:t>[填什么] 以中国大陆地区为主，覆盖多个省份</w:t>
      </w:r>
    </w:p>
    <w:p>
      <w:pPr>
        <w:spacing w:after="120" w:line="336" w:lineRule="auto"/>
      </w:pPr>
      <w:r>
        <w:rPr>
          <w:rFonts w:ascii="微软雅黑" w:hAnsi="微软雅黑" w:eastAsia="微软雅黑"/>
        </w:rPr>
        <w:t>[待确认] 若平台需填具体省份清单，需技术团队按org_id渠道编码提供覆盖地区列表</w:t>
      </w:r>
    </w:p>
    <w:p>
      <w:pPr>
        <w:pStyle w:val="Heading3"/>
      </w:pPr>
      <w:r>
        <w:rPr>
          <w:rFonts w:ascii="微软雅黑" w:hAnsi="微软雅黑" w:eastAsia="微软雅黑"/>
          <w:color w:val="2D5F9E"/>
          <w:sz w:val="26"/>
        </w:rPr>
        <w:t>15. 时域范围</w:t>
      </w:r>
    </w:p>
    <w:p>
      <w:pPr>
        <w:spacing w:after="120" w:line="336" w:lineRule="auto"/>
      </w:pPr>
      <w:r>
        <w:rPr>
          <w:rFonts w:ascii="微软雅黑" w:hAnsi="微软雅黑" w:eastAsia="微软雅黑"/>
        </w:rPr>
        <w:t>[填什么] 2022年11月 至 2026年9月（持续更新中）</w:t>
      </w:r>
    </w:p>
    <w:p>
      <w:pPr>
        <w:spacing w:after="120" w:line="336" w:lineRule="auto"/>
      </w:pPr>
      <w:r>
        <w:rPr>
          <w:rFonts w:ascii="微软雅黑" w:hAnsi="微软雅黑" w:eastAsia="微软雅黑"/>
        </w:rPr>
        <w:t>[为什么] 最早治疗用户记录起于2022年11月，数据持续采集至最新治疗用户2026年9月</w:t>
      </w:r>
    </w:p>
    <w:p>
      <w:pPr>
        <w:pStyle w:val="Heading3"/>
      </w:pPr>
      <w:r>
        <w:rPr>
          <w:rFonts w:ascii="微软雅黑" w:hAnsi="微软雅黑" w:eastAsia="微软雅黑"/>
          <w:color w:val="2D5F9E"/>
          <w:sz w:val="26"/>
        </w:rPr>
        <w:t>16. 更新频率</w:t>
      </w:r>
    </w:p>
    <w:p>
      <w:pPr>
        <w:spacing w:after="120" w:line="336" w:lineRule="auto"/>
      </w:pPr>
      <w:r>
        <w:rPr>
          <w:rFonts w:ascii="微软雅黑" w:hAnsi="微软雅黑" w:eastAsia="微软雅黑"/>
        </w:rPr>
        <w:t>[填什么] 实时/持续更新</w:t>
      </w:r>
    </w:p>
    <w:p>
      <w:pPr>
        <w:spacing w:after="120" w:line="336" w:lineRule="auto"/>
      </w:pPr>
      <w:r>
        <w:rPr>
          <w:rFonts w:ascii="微软雅黑" w:hAnsi="微软雅黑" w:eastAsia="微软雅黑"/>
        </w:rPr>
        <w:t>[为什么] 每次治疗执行即生成处方执行记录，多师协同会话即时产生，属持续采集型数据</w:t>
      </w:r>
    </w:p>
    <w:p>
      <w:pPr>
        <w:pStyle w:val="Heading3"/>
      </w:pPr>
      <w:r>
        <w:rPr>
          <w:rFonts w:ascii="微软雅黑" w:hAnsi="微软雅黑" w:eastAsia="微软雅黑"/>
          <w:color w:val="2D5F9E"/>
          <w:sz w:val="26"/>
        </w:rPr>
        <w:t>17. 限制范围</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本数据集所涉数据均为圆爱康自营服务过程中产生的技术与服务过程数据，不含可识别个人身份的信息。使用者身份以系统编码（uid）形式记录，不包含姓名、身份证号、联系方式等个人信息。不涉及合作医疗机构产生的诊疗记录（诊断、处方医嘱、病历）——该部分权属归医疗机构，不纳入本数据集范围。</w:t>
      </w:r>
    </w:p>
    <w:p>
      <w:pPr>
        <w:spacing w:after="120" w:line="336" w:lineRule="auto"/>
      </w:pPr>
      <w:r>
        <w:rPr>
          <w:rFonts w:ascii="微软雅黑" w:hAnsi="微软雅黑" w:eastAsia="微软雅黑"/>
        </w:rPr>
        <w:t>[为什么] 明确数据边界，规避权属争议，同时说明已做去标识化处理</w:t>
      </w:r>
    </w:p>
    <w:p>
      <w:pPr>
        <w:pStyle w:val="Heading3"/>
      </w:pPr>
      <w:r>
        <w:rPr>
          <w:rFonts w:ascii="微软雅黑" w:hAnsi="微软雅黑" w:eastAsia="微软雅黑"/>
          <w:color w:val="2D5F9E"/>
          <w:sz w:val="26"/>
        </w:rPr>
        <w:t>18. 是否涉及关键信息基础设施</w:t>
      </w:r>
    </w:p>
    <w:p>
      <w:pPr>
        <w:spacing w:after="120" w:line="336" w:lineRule="auto"/>
      </w:pPr>
      <w:r>
        <w:rPr>
          <w:rFonts w:ascii="微软雅黑" w:hAnsi="微软雅黑" w:eastAsia="微软雅黑"/>
        </w:rPr>
        <w:t>[填什么] 否</w:t>
      </w:r>
    </w:p>
    <w:p>
      <w:pPr>
        <w:spacing w:after="120" w:line="336" w:lineRule="auto"/>
      </w:pPr>
      <w:r>
        <w:rPr>
          <w:rFonts w:ascii="微软雅黑" w:hAnsi="微软雅黑" w:eastAsia="微软雅黑"/>
        </w:rPr>
        <w:t>[为什么] 公司不属于关键信息基础设施运营者，系统不承载公共服务核心功能</w:t>
      </w:r>
    </w:p>
    <w:p>
      <w:pPr>
        <w:pStyle w:val="Heading3"/>
      </w:pPr>
      <w:r>
        <w:rPr>
          <w:rFonts w:ascii="微软雅黑" w:hAnsi="微软雅黑" w:eastAsia="微软雅黑"/>
          <w:color w:val="2D5F9E"/>
          <w:sz w:val="26"/>
        </w:rPr>
        <w:t>19. 是否涉及重要互联网平台</w:t>
      </w:r>
    </w:p>
    <w:p>
      <w:pPr>
        <w:spacing w:after="120" w:line="336" w:lineRule="auto"/>
      </w:pPr>
      <w:r>
        <w:rPr>
          <w:rFonts w:ascii="微软雅黑" w:hAnsi="微软雅黑" w:eastAsia="微软雅黑"/>
        </w:rPr>
        <w:t>[填什么] 否</w:t>
      </w:r>
    </w:p>
    <w:p>
      <w:pPr>
        <w:spacing w:after="120" w:line="336" w:lineRule="auto"/>
      </w:pPr>
      <w:r>
        <w:rPr>
          <w:rFonts w:ascii="微软雅黑" w:hAnsi="微软雅黑" w:eastAsia="微软雅黑"/>
        </w:rPr>
        <w:t>[为什么] 系统为垂直领域专业服务系统，用户规模与业务形态不构成重要互联网平台</w:t>
      </w:r>
    </w:p>
    <w:p>
      <w:pPr>
        <w:spacing w:before="160" w:after="160"/>
      </w:pPr>
      <w:r>
        <w:rPr>
          <w:color w:val="BBBBBB"/>
          <w:sz w:val="16"/>
        </w:rPr>
        <w:t>──────────────────────────────────────────────────────────</w:t>
      </w:r>
    </w:p>
    <w:p>
      <w:pPr>
        <w:pStyle w:val="Heading2"/>
      </w:pPr>
      <w:r>
        <w:rPr>
          <w:rFonts w:ascii="微软雅黑" w:hAnsi="微软雅黑" w:eastAsia="微软雅黑"/>
          <w:color w:val="1A478A"/>
          <w:sz w:val="30"/>
        </w:rPr>
        <w:t>四、数据内容说明</w:t>
      </w:r>
    </w:p>
    <w:p>
      <w:pPr>
        <w:pStyle w:val="Heading3"/>
      </w:pPr>
      <w:r>
        <w:rPr>
          <w:rFonts w:ascii="微软雅黑" w:hAnsi="微软雅黑" w:eastAsia="微软雅黑"/>
          <w:color w:val="2D5F9E"/>
          <w:sz w:val="26"/>
        </w:rPr>
        <w:t>20. 数据内容说明</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本数据集为居家康复治疗与服务协同全过程的记录集合，包含四个层次：</w:t>
      </w:r>
    </w:p>
    <w:p>
      <w:pPr>
        <w:spacing w:after="120" w:line="336" w:lineRule="auto"/>
      </w:pPr>
      <w:r>
        <w:rPr>
          <w:rFonts w:ascii="微软雅黑" w:hAnsi="微软雅黑" w:eastAsia="微软雅黑"/>
        </w:rPr>
        <w:t>第一层 方案与疗程数据——康复训练方案表、康复训练方案疗程表。记录使用者建档后由专业人员评估开方形成的方案信息，含方案ID、方案名称、方案次数、疗程编码、疗程阶段、方案状态、完成时间、开单医生、管理医护、渠道编码等字段。</w:t>
      </w:r>
    </w:p>
    <w:p>
      <w:pPr>
        <w:spacing w:after="120" w:line="336" w:lineRule="auto"/>
      </w:pPr>
      <w:r>
        <w:rPr>
          <w:rFonts w:ascii="微软雅黑" w:hAnsi="微软雅黑" w:eastAsia="微软雅黑"/>
        </w:rPr>
        <w:t>第二层 处方执行数据——康复训练方案疗程处方表，为本数据集的核心价值表。记录每一次居家康复训练的执行细节，含处方ID、处方名称、治疗时长、使用设备编号、治疗开始与结束时间、治疗电流参数、处方治疗波形图URL、治疗状态、渠道编码等字段。该层累计244,049条记录。</w:t>
      </w:r>
    </w:p>
    <w:p>
      <w:pPr>
        <w:spacing w:after="120" w:line="336" w:lineRule="auto"/>
      </w:pPr>
      <w:r>
        <w:rPr>
          <w:rFonts w:ascii="微软雅黑" w:hAnsi="微软雅黑" w:eastAsia="微软雅黑"/>
        </w:rPr>
        <w:t>第三层 设备运行与生理反馈数据——设备连接与运行日志、设备端采集的生理反馈参数。</w:t>
      </w:r>
    </w:p>
    <w:p>
      <w:pPr>
        <w:spacing w:after="120" w:line="336" w:lineRule="auto"/>
      </w:pPr>
      <w:r>
        <w:rPr>
          <w:rFonts w:ascii="微软雅黑" w:hAnsi="微软雅黑" w:eastAsia="微软雅黑"/>
        </w:rPr>
        <w:t>第四层 多师服务协同数据——消息会话表、消息对话记录表。记录多师共管服务群内的协同过程，含会话ID、会话标题、会话创建者、是否启用AI回复、会话状态、消息类型、消息体、发送者、发送时间戳、回复关系等字段。该层累计2,435个服务群、67,754条记录。</w:t>
      </w:r>
    </w:p>
    <w:p>
      <w:pPr>
        <w:spacing w:after="120" w:line="336" w:lineRule="auto"/>
      </w:pPr>
      <w:r>
        <w:rPr>
          <w:rFonts w:ascii="微软雅黑" w:hAnsi="微软雅黑" w:eastAsia="微软雅黑"/>
        </w:rPr>
        <w:t>[材料] 数据库表结构说明</w:t>
      </w:r>
    </w:p>
    <w:p>
      <w:pPr>
        <w:pStyle w:val="Heading3"/>
      </w:pPr>
      <w:r>
        <w:rPr>
          <w:rFonts w:ascii="微软雅黑" w:hAnsi="微软雅黑" w:eastAsia="微软雅黑"/>
          <w:color w:val="2D5F9E"/>
          <w:sz w:val="26"/>
        </w:rPr>
        <w:t>21. 样例数据</w:t>
      </w:r>
    </w:p>
    <w:p>
      <w:pPr>
        <w:spacing w:after="120" w:line="336" w:lineRule="auto"/>
      </w:pPr>
      <w:r>
        <w:rPr>
          <w:rFonts w:ascii="微软雅黑" w:hAnsi="微软雅黑" w:eastAsia="微软雅黑"/>
        </w:rPr>
        <w:t>[填什么]</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478A" w:val="clear"/>
          </w:tcPr>
          <w:p>
            <w:r/>
            <w:r>
              <w:rPr>
                <w:rFonts w:ascii="微软雅黑" w:hAnsi="微软雅黑" w:eastAsia="微软雅黑"/>
                <w:b/>
                <w:color w:val="FFFFFF"/>
                <w:sz w:val="20"/>
              </w:rPr>
              <w:t>患者ID</w:t>
            </w:r>
          </w:p>
        </w:tc>
        <w:tc>
          <w:tcPr>
            <w:tcW w:type="dxa" w:w="1440"/>
            <w:shd w:fill="1A478A" w:val="clear"/>
          </w:tcPr>
          <w:p>
            <w:r/>
            <w:r>
              <w:rPr>
                <w:rFonts w:ascii="微软雅黑" w:hAnsi="微软雅黑" w:eastAsia="微软雅黑"/>
                <w:b/>
                <w:color w:val="FFFFFF"/>
                <w:sz w:val="20"/>
              </w:rPr>
              <w:t>病种</w:t>
            </w:r>
          </w:p>
        </w:tc>
        <w:tc>
          <w:tcPr>
            <w:tcW w:type="dxa" w:w="1440"/>
            <w:shd w:fill="1A478A" w:val="clear"/>
          </w:tcPr>
          <w:p>
            <w:r/>
            <w:r>
              <w:rPr>
                <w:rFonts w:ascii="微软雅黑" w:hAnsi="微软雅黑" w:eastAsia="微软雅黑"/>
                <w:b/>
                <w:color w:val="FFFFFF"/>
                <w:sz w:val="20"/>
              </w:rPr>
              <w:t>训练项目</w:t>
            </w:r>
          </w:p>
        </w:tc>
        <w:tc>
          <w:tcPr>
            <w:tcW w:type="dxa" w:w="1440"/>
            <w:shd w:fill="1A478A" w:val="clear"/>
          </w:tcPr>
          <w:p>
            <w:r/>
            <w:r>
              <w:rPr>
                <w:rFonts w:ascii="微软雅黑" w:hAnsi="微软雅黑" w:eastAsia="微软雅黑"/>
                <w:b/>
                <w:color w:val="FFFFFF"/>
                <w:sz w:val="20"/>
              </w:rPr>
              <w:t>训练次数</w:t>
            </w:r>
          </w:p>
        </w:tc>
        <w:tc>
          <w:tcPr>
            <w:tcW w:type="dxa" w:w="1440"/>
            <w:shd w:fill="1A478A" w:val="clear"/>
          </w:tcPr>
          <w:p>
            <w:r/>
            <w:r>
              <w:rPr>
                <w:rFonts w:ascii="微软雅黑" w:hAnsi="微软雅黑" w:eastAsia="微软雅黑"/>
                <w:b/>
                <w:color w:val="FFFFFF"/>
                <w:sz w:val="20"/>
              </w:rPr>
              <w:t>完成训练日期</w:t>
            </w:r>
          </w:p>
        </w:tc>
        <w:tc>
          <w:tcPr>
            <w:tcW w:type="dxa" w:w="1440"/>
            <w:shd w:fill="1A478A" w:val="clear"/>
          </w:tcPr>
          <w:p>
            <w:r/>
            <w:r>
              <w:rPr>
                <w:rFonts w:ascii="微软雅黑" w:hAnsi="微软雅黑" w:eastAsia="微软雅黑"/>
                <w:b/>
                <w:color w:val="FFFFFF"/>
                <w:sz w:val="20"/>
              </w:rPr>
              <w:t>设备编号</w:t>
            </w:r>
          </w:p>
        </w:tc>
      </w:tr>
      <w:tr>
        <w:tc>
          <w:tcPr>
            <w:tcW w:type="dxa" w:w="1440"/>
          </w:tcPr>
          <w:p>
            <w:r>
              <w:rPr>
                <w:rFonts w:ascii="微软雅黑" w:hAnsi="微软雅黑" w:eastAsia="微软雅黑"/>
                <w:sz w:val="20"/>
              </w:rPr>
            </w:r>
            <w:r>
              <w:rPr>
                <w:rFonts w:ascii="微软雅黑" w:hAnsi="微软雅黑" w:eastAsia="微软雅黑"/>
                <w:sz w:val="20"/>
              </w:rPr>
              <w:t>u1593450059830398976</w:t>
            </w:r>
          </w:p>
        </w:tc>
        <w:tc>
          <w:tcPr>
            <w:tcW w:type="dxa" w:w="1440"/>
          </w:tcPr>
          <w:p>
            <w:r>
              <w:rPr>
                <w:rFonts w:ascii="微软雅黑" w:hAnsi="微软雅黑" w:eastAsia="微软雅黑"/>
                <w:sz w:val="20"/>
              </w:rPr>
            </w:r>
            <w:r>
              <w:rPr>
                <w:rFonts w:ascii="微软雅黑" w:hAnsi="微软雅黑" w:eastAsia="微软雅黑"/>
                <w:sz w:val="20"/>
              </w:rPr>
              <w:t>盆底康复</w:t>
            </w:r>
          </w:p>
        </w:tc>
        <w:tc>
          <w:tcPr>
            <w:tcW w:type="dxa" w:w="1440"/>
          </w:tcPr>
          <w:p>
            <w:r>
              <w:rPr>
                <w:rFonts w:ascii="微软雅黑" w:hAnsi="微软雅黑" w:eastAsia="微软雅黑"/>
                <w:sz w:val="20"/>
              </w:rPr>
            </w:r>
            <w:r>
              <w:rPr>
                <w:rFonts w:ascii="微软雅黑" w:hAnsi="微软雅黑" w:eastAsia="微软雅黑"/>
                <w:sz w:val="20"/>
              </w:rPr>
              <w:t>生物反馈电刺激</w:t>
            </w:r>
          </w:p>
        </w:tc>
        <w:tc>
          <w:tcPr>
            <w:tcW w:type="dxa" w:w="1440"/>
          </w:tcPr>
          <w:p>
            <w:r>
              <w:rPr>
                <w:rFonts w:ascii="微软雅黑" w:hAnsi="微软雅黑" w:eastAsia="微软雅黑"/>
                <w:sz w:val="20"/>
              </w:rPr>
            </w:r>
            <w:r>
              <w:rPr>
                <w:rFonts w:ascii="微软雅黑" w:hAnsi="微软雅黑" w:eastAsia="微软雅黑"/>
                <w:sz w:val="20"/>
              </w:rPr>
              <w:t>10</w:t>
            </w:r>
          </w:p>
        </w:tc>
        <w:tc>
          <w:tcPr>
            <w:tcW w:type="dxa" w:w="1440"/>
          </w:tcPr>
          <w:p>
            <w:r>
              <w:rPr>
                <w:rFonts w:ascii="微软雅黑" w:hAnsi="微软雅黑" w:eastAsia="微软雅黑"/>
                <w:sz w:val="20"/>
              </w:rPr>
            </w:r>
            <w:r>
              <w:rPr>
                <w:rFonts w:ascii="微软雅黑" w:hAnsi="微软雅黑" w:eastAsia="微软雅黑"/>
                <w:sz w:val="20"/>
              </w:rPr>
              <w:t>2022-11-23</w:t>
            </w:r>
          </w:p>
        </w:tc>
        <w:tc>
          <w:tcPr>
            <w:tcW w:type="dxa" w:w="1440"/>
          </w:tcPr>
          <w:p>
            <w:r>
              <w:rPr>
                <w:rFonts w:ascii="微软雅黑" w:hAnsi="微软雅黑" w:eastAsia="微软雅黑"/>
                <w:sz w:val="20"/>
              </w:rPr>
            </w:r>
            <w:r>
              <w:rPr>
                <w:rFonts w:ascii="微软雅黑" w:hAnsi="微软雅黑" w:eastAsia="微软雅黑"/>
                <w:sz w:val="20"/>
              </w:rPr>
              <w:t>78:04:73:BE:09:39</w:t>
            </w:r>
          </w:p>
        </w:tc>
      </w:tr>
      <w:tr>
        <w:tc>
          <w:tcPr>
            <w:tcW w:type="dxa" w:w="1440"/>
            <w:shd w:fill="F5F7FA" w:val="clear"/>
          </w:tcPr>
          <w:p>
            <w:r>
              <w:rPr>
                <w:rFonts w:ascii="微软雅黑" w:hAnsi="微软雅黑" w:eastAsia="微软雅黑"/>
                <w:sz w:val="20"/>
              </w:rPr>
            </w:r>
            <w:r>
              <w:rPr>
                <w:rFonts w:ascii="微软雅黑" w:hAnsi="微软雅黑" w:eastAsia="微软雅黑"/>
                <w:sz w:val="20"/>
              </w:rPr>
              <w:t>u1601013221832265728</w:t>
            </w:r>
          </w:p>
        </w:tc>
        <w:tc>
          <w:tcPr>
            <w:tcW w:type="dxa" w:w="1440"/>
            <w:shd w:fill="F5F7FA" w:val="clear"/>
          </w:tcPr>
          <w:p>
            <w:r>
              <w:rPr>
                <w:rFonts w:ascii="微软雅黑" w:hAnsi="微软雅黑" w:eastAsia="微软雅黑"/>
                <w:sz w:val="20"/>
              </w:rPr>
            </w:r>
            <w:r>
              <w:rPr>
                <w:rFonts w:ascii="微软雅黑" w:hAnsi="微软雅黑" w:eastAsia="微软雅黑"/>
                <w:sz w:val="20"/>
              </w:rPr>
              <w:t>尿失禁</w:t>
            </w:r>
          </w:p>
        </w:tc>
        <w:tc>
          <w:tcPr>
            <w:tcW w:type="dxa" w:w="1440"/>
            <w:shd w:fill="F5F7FA" w:val="clear"/>
          </w:tcPr>
          <w:p>
            <w:r>
              <w:rPr>
                <w:rFonts w:ascii="微软雅黑" w:hAnsi="微软雅黑" w:eastAsia="微软雅黑"/>
                <w:sz w:val="20"/>
              </w:rPr>
            </w:r>
            <w:r>
              <w:rPr>
                <w:rFonts w:ascii="微软雅黑" w:hAnsi="微软雅黑" w:eastAsia="微软雅黑"/>
                <w:sz w:val="20"/>
              </w:rPr>
              <w:t>生物反馈电刺激</w:t>
            </w:r>
          </w:p>
        </w:tc>
        <w:tc>
          <w:tcPr>
            <w:tcW w:type="dxa" w:w="1440"/>
            <w:shd w:fill="F5F7FA" w:val="clear"/>
          </w:tcPr>
          <w:p>
            <w:r>
              <w:rPr>
                <w:rFonts w:ascii="微软雅黑" w:hAnsi="微软雅黑" w:eastAsia="微软雅黑"/>
                <w:sz w:val="20"/>
              </w:rPr>
            </w:r>
            <w:r>
              <w:rPr>
                <w:rFonts w:ascii="微软雅黑" w:hAnsi="微软雅黑" w:eastAsia="微软雅黑"/>
                <w:sz w:val="20"/>
              </w:rPr>
              <w:t>10</w:t>
            </w:r>
          </w:p>
        </w:tc>
        <w:tc>
          <w:tcPr>
            <w:tcW w:type="dxa" w:w="1440"/>
            <w:shd w:fill="F5F7FA" w:val="clear"/>
          </w:tcPr>
          <w:p>
            <w:r>
              <w:rPr>
                <w:rFonts w:ascii="微软雅黑" w:hAnsi="微软雅黑" w:eastAsia="微软雅黑"/>
                <w:sz w:val="20"/>
              </w:rPr>
            </w:r>
            <w:r>
              <w:rPr>
                <w:rFonts w:ascii="微软雅黑" w:hAnsi="微软雅黑" w:eastAsia="微软雅黑"/>
                <w:sz w:val="20"/>
              </w:rPr>
              <w:t>2023-01-20</w:t>
            </w:r>
          </w:p>
        </w:tc>
        <w:tc>
          <w:tcPr>
            <w:tcW w:type="dxa" w:w="1440"/>
            <w:shd w:fill="F5F7FA" w:val="clear"/>
          </w:tcPr>
          <w:p>
            <w:r>
              <w:rPr>
                <w:rFonts w:ascii="微软雅黑" w:hAnsi="微软雅黑" w:eastAsia="微软雅黑"/>
                <w:sz w:val="20"/>
              </w:rPr>
            </w:r>
            <w:r>
              <w:rPr>
                <w:rFonts w:ascii="微软雅黑" w:hAnsi="微软雅黑" w:eastAsia="微软雅黑"/>
                <w:sz w:val="20"/>
              </w:rPr>
              <w:t>78:04:73:BE:12:B3</w:t>
            </w:r>
          </w:p>
        </w:tc>
      </w:tr>
      <w:tr>
        <w:tc>
          <w:tcPr>
            <w:tcW w:type="dxa" w:w="1440"/>
          </w:tcPr>
          <w:p>
            <w:r>
              <w:rPr>
                <w:rFonts w:ascii="微软雅黑" w:hAnsi="微软雅黑" w:eastAsia="微软雅黑"/>
                <w:sz w:val="20"/>
              </w:rPr>
            </w:r>
            <w:r>
              <w:rPr>
                <w:rFonts w:ascii="微软雅黑" w:hAnsi="微软雅黑" w:eastAsia="微软雅黑"/>
                <w:sz w:val="20"/>
              </w:rPr>
              <w:t>d925081483346358272</w:t>
            </w:r>
          </w:p>
        </w:tc>
        <w:tc>
          <w:tcPr>
            <w:tcW w:type="dxa" w:w="1440"/>
          </w:tcPr>
          <w:p>
            <w:r>
              <w:rPr>
                <w:rFonts w:ascii="微软雅黑" w:hAnsi="微软雅黑" w:eastAsia="微软雅黑"/>
                <w:sz w:val="20"/>
              </w:rPr>
            </w:r>
            <w:r>
              <w:rPr>
                <w:rFonts w:ascii="微软雅黑" w:hAnsi="微软雅黑" w:eastAsia="微软雅黑"/>
                <w:sz w:val="20"/>
              </w:rPr>
              <w:t>镇痛</w:t>
            </w:r>
          </w:p>
        </w:tc>
        <w:tc>
          <w:tcPr>
            <w:tcW w:type="dxa" w:w="1440"/>
          </w:tcPr>
          <w:p>
            <w:r>
              <w:rPr>
                <w:rFonts w:ascii="微软雅黑" w:hAnsi="微软雅黑" w:eastAsia="微软雅黑"/>
                <w:sz w:val="20"/>
              </w:rPr>
            </w:r>
            <w:r>
              <w:rPr>
                <w:rFonts w:ascii="微软雅黑" w:hAnsi="微软雅黑" w:eastAsia="微软雅黑"/>
                <w:sz w:val="20"/>
              </w:rPr>
              <w:t>生物反馈电刺激</w:t>
            </w:r>
          </w:p>
        </w:tc>
        <w:tc>
          <w:tcPr>
            <w:tcW w:type="dxa" w:w="1440"/>
          </w:tcPr>
          <w:p>
            <w:r>
              <w:rPr>
                <w:rFonts w:ascii="微软雅黑" w:hAnsi="微软雅黑" w:eastAsia="微软雅黑"/>
                <w:sz w:val="20"/>
              </w:rPr>
            </w:r>
            <w:r>
              <w:rPr>
                <w:rFonts w:ascii="微软雅黑" w:hAnsi="微软雅黑" w:eastAsia="微软雅黑"/>
                <w:sz w:val="20"/>
              </w:rPr>
              <w:t>5</w:t>
            </w:r>
          </w:p>
        </w:tc>
        <w:tc>
          <w:tcPr>
            <w:tcW w:type="dxa" w:w="1440"/>
          </w:tcPr>
          <w:p>
            <w:r>
              <w:rPr>
                <w:rFonts w:ascii="微软雅黑" w:hAnsi="微软雅黑" w:eastAsia="微软雅黑"/>
                <w:sz w:val="20"/>
              </w:rPr>
            </w:r>
            <w:r>
              <w:rPr>
                <w:rFonts w:ascii="微软雅黑" w:hAnsi="微软雅黑" w:eastAsia="微软雅黑"/>
                <w:sz w:val="20"/>
              </w:rPr>
              <w:t>2025-05-16</w:t>
            </w:r>
          </w:p>
        </w:tc>
        <w:tc>
          <w:tcPr>
            <w:tcW w:type="dxa" w:w="1440"/>
          </w:tcPr>
          <w:p>
            <w:r>
              <w:rPr>
                <w:rFonts w:ascii="微软雅黑" w:hAnsi="微软雅黑" w:eastAsia="微软雅黑"/>
                <w:sz w:val="20"/>
              </w:rPr>
            </w:r>
            <w:r>
              <w:rPr>
                <w:rFonts w:ascii="微软雅黑" w:hAnsi="微软雅黑" w:eastAsia="微软雅黑"/>
                <w:sz w:val="20"/>
              </w:rPr>
              <w:t>BA:03:58:72:65:66</w:t>
            </w:r>
          </w:p>
        </w:tc>
      </w:tr>
      <w:tr>
        <w:tc>
          <w:tcPr>
            <w:tcW w:type="dxa" w:w="1440"/>
            <w:shd w:fill="F5F7FA" w:val="clear"/>
          </w:tcPr>
          <w:p>
            <w:r>
              <w:rPr>
                <w:rFonts w:ascii="微软雅黑" w:hAnsi="微软雅黑" w:eastAsia="微软雅黑"/>
                <w:sz w:val="20"/>
              </w:rPr>
            </w:r>
            <w:r>
              <w:rPr>
                <w:rFonts w:ascii="微软雅黑" w:hAnsi="微软雅黑" w:eastAsia="微软雅黑"/>
                <w:sz w:val="20"/>
              </w:rPr>
              <w:t>u1923944598804369408</w:t>
            </w:r>
          </w:p>
        </w:tc>
        <w:tc>
          <w:tcPr>
            <w:tcW w:type="dxa" w:w="1440"/>
            <w:shd w:fill="F5F7FA" w:val="clear"/>
          </w:tcPr>
          <w:p>
            <w:r>
              <w:rPr>
                <w:rFonts w:ascii="微软雅黑" w:hAnsi="微软雅黑" w:eastAsia="微软雅黑"/>
                <w:sz w:val="20"/>
              </w:rPr>
            </w:r>
            <w:r>
              <w:rPr>
                <w:rFonts w:ascii="微软雅黑" w:hAnsi="微软雅黑" w:eastAsia="微软雅黑"/>
                <w:sz w:val="20"/>
              </w:rPr>
              <w:t>盆底康复</w:t>
            </w:r>
          </w:p>
        </w:tc>
        <w:tc>
          <w:tcPr>
            <w:tcW w:type="dxa" w:w="1440"/>
            <w:shd w:fill="F5F7FA" w:val="clear"/>
          </w:tcPr>
          <w:p>
            <w:r>
              <w:rPr>
                <w:rFonts w:ascii="微软雅黑" w:hAnsi="微软雅黑" w:eastAsia="微软雅黑"/>
                <w:sz w:val="20"/>
              </w:rPr>
            </w:r>
            <w:r>
              <w:rPr>
                <w:rFonts w:ascii="微软雅黑" w:hAnsi="微软雅黑" w:eastAsia="微软雅黑"/>
                <w:sz w:val="20"/>
              </w:rPr>
              <w:t>生物反馈电刺激</w:t>
            </w:r>
          </w:p>
        </w:tc>
        <w:tc>
          <w:tcPr>
            <w:tcW w:type="dxa" w:w="1440"/>
            <w:shd w:fill="F5F7FA" w:val="clear"/>
          </w:tcPr>
          <w:p>
            <w:r>
              <w:rPr>
                <w:rFonts w:ascii="微软雅黑" w:hAnsi="微软雅黑" w:eastAsia="微软雅黑"/>
                <w:sz w:val="20"/>
              </w:rPr>
            </w:r>
            <w:r>
              <w:rPr>
                <w:rFonts w:ascii="微软雅黑" w:hAnsi="微软雅黑" w:eastAsia="微软雅黑"/>
                <w:sz w:val="20"/>
              </w:rPr>
              <w:t>13</w:t>
            </w:r>
          </w:p>
        </w:tc>
        <w:tc>
          <w:tcPr>
            <w:tcW w:type="dxa" w:w="1440"/>
            <w:shd w:fill="F5F7FA" w:val="clear"/>
          </w:tcPr>
          <w:p>
            <w:r>
              <w:rPr>
                <w:rFonts w:ascii="微软雅黑" w:hAnsi="微软雅黑" w:eastAsia="微软雅黑"/>
                <w:sz w:val="20"/>
              </w:rPr>
            </w:r>
            <w:r>
              <w:rPr>
                <w:rFonts w:ascii="微软雅黑" w:hAnsi="微软雅黑" w:eastAsia="微软雅黑"/>
                <w:sz w:val="20"/>
              </w:rPr>
              <w:t>2025-08-20</w:t>
            </w:r>
          </w:p>
        </w:tc>
        <w:tc>
          <w:tcPr>
            <w:tcW w:type="dxa" w:w="1440"/>
            <w:shd w:fill="F5F7FA" w:val="clear"/>
          </w:tcPr>
          <w:p>
            <w:r>
              <w:rPr>
                <w:rFonts w:ascii="微软雅黑" w:hAnsi="微软雅黑" w:eastAsia="微软雅黑"/>
                <w:sz w:val="20"/>
              </w:rPr>
            </w:r>
            <w:r>
              <w:rPr>
                <w:rFonts w:ascii="微软雅黑" w:hAnsi="微软雅黑" w:eastAsia="微软雅黑"/>
                <w:sz w:val="20"/>
              </w:rPr>
              <w:t>BA:03:58:72:66:93</w:t>
            </w:r>
          </w:p>
        </w:tc>
      </w:tr>
      <w:tr>
        <w:tc>
          <w:tcPr>
            <w:tcW w:type="dxa" w:w="1440"/>
          </w:tcPr>
          <w:p>
            <w:r>
              <w:rPr>
                <w:rFonts w:ascii="微软雅黑" w:hAnsi="微软雅黑" w:eastAsia="微软雅黑"/>
                <w:sz w:val="20"/>
              </w:rPr>
            </w:r>
            <w:r>
              <w:rPr>
                <w:rFonts w:ascii="微软雅黑" w:hAnsi="微软雅黑" w:eastAsia="微软雅黑"/>
                <w:sz w:val="20"/>
              </w:rPr>
              <w:t>u2043898555718176768</w:t>
            </w:r>
          </w:p>
        </w:tc>
        <w:tc>
          <w:tcPr>
            <w:tcW w:type="dxa" w:w="1440"/>
          </w:tcPr>
          <w:p>
            <w:r>
              <w:rPr>
                <w:rFonts w:ascii="微软雅黑" w:hAnsi="微软雅黑" w:eastAsia="微软雅黑"/>
                <w:sz w:val="20"/>
              </w:rPr>
            </w:r>
            <w:r>
              <w:rPr>
                <w:rFonts w:ascii="微软雅黑" w:hAnsi="微软雅黑" w:eastAsia="微软雅黑"/>
                <w:sz w:val="20"/>
              </w:rPr>
              <w:t>子宫复旧</w:t>
            </w:r>
          </w:p>
        </w:tc>
        <w:tc>
          <w:tcPr>
            <w:tcW w:type="dxa" w:w="1440"/>
          </w:tcPr>
          <w:p>
            <w:r>
              <w:rPr>
                <w:rFonts w:ascii="微软雅黑" w:hAnsi="微软雅黑" w:eastAsia="微软雅黑"/>
                <w:sz w:val="20"/>
              </w:rPr>
            </w:r>
            <w:r>
              <w:rPr>
                <w:rFonts w:ascii="微软雅黑" w:hAnsi="微软雅黑" w:eastAsia="微软雅黑"/>
                <w:sz w:val="20"/>
              </w:rPr>
              <w:t>生物反馈电刺激</w:t>
            </w:r>
          </w:p>
        </w:tc>
        <w:tc>
          <w:tcPr>
            <w:tcW w:type="dxa" w:w="1440"/>
          </w:tcPr>
          <w:p>
            <w:r>
              <w:rPr>
                <w:rFonts w:ascii="微软雅黑" w:hAnsi="微软雅黑" w:eastAsia="微软雅黑"/>
                <w:sz w:val="20"/>
              </w:rPr>
            </w:r>
            <w:r>
              <w:rPr>
                <w:rFonts w:ascii="微软雅黑" w:hAnsi="微软雅黑" w:eastAsia="微软雅黑"/>
                <w:sz w:val="20"/>
              </w:rPr>
              <w:t>14</w:t>
            </w:r>
          </w:p>
        </w:tc>
        <w:tc>
          <w:tcPr>
            <w:tcW w:type="dxa" w:w="1440"/>
          </w:tcPr>
          <w:p>
            <w:r>
              <w:rPr>
                <w:rFonts w:ascii="微软雅黑" w:hAnsi="微软雅黑" w:eastAsia="微软雅黑"/>
                <w:sz w:val="20"/>
              </w:rPr>
            </w:r>
            <w:r>
              <w:rPr>
                <w:rFonts w:ascii="微软雅黑" w:hAnsi="微软雅黑" w:eastAsia="微软雅黑"/>
                <w:sz w:val="20"/>
              </w:rPr>
              <w:t>2026-04-25</w:t>
            </w:r>
          </w:p>
        </w:tc>
        <w:tc>
          <w:tcPr>
            <w:tcW w:type="dxa" w:w="1440"/>
          </w:tcPr>
          <w:p>
            <w:r>
              <w:rPr>
                <w:rFonts w:ascii="微软雅黑" w:hAnsi="微软雅黑" w:eastAsia="微软雅黑"/>
                <w:sz w:val="20"/>
              </w:rPr>
            </w:r>
            <w:r>
              <w:rPr>
                <w:rFonts w:ascii="微软雅黑" w:hAnsi="微软雅黑" w:eastAsia="微软雅黑"/>
                <w:sz w:val="20"/>
              </w:rPr>
              <w:t>BA:03:A0:63:0E:10</w:t>
            </w:r>
          </w:p>
        </w:tc>
      </w:tr>
    </w:tbl>
    <w:p/>
    <w:p>
      <w:pPr>
        <w:spacing w:after="120" w:line="336" w:lineRule="auto"/>
      </w:pPr>
      <w:r>
        <w:rPr>
          <w:rFonts w:ascii="微软雅黑" w:hAnsi="微软雅黑" w:eastAsia="微软雅黑"/>
        </w:rPr>
        <w:t>说明：患者ID为系统编码，不含可识别个人身份的信息；设备编号为设备唯一标识，不指向个人。</w:t>
      </w:r>
    </w:p>
    <w:p>
      <w:pPr>
        <w:spacing w:after="120" w:line="336" w:lineRule="auto"/>
      </w:pPr>
      <w:r>
        <w:rPr>
          <w:rFonts w:ascii="微软雅黑" w:hAnsi="微软雅黑" w:eastAsia="微软雅黑"/>
        </w:rPr>
        <w:t>[材料] 无</w:t>
      </w:r>
    </w:p>
    <w:p>
      <w:pPr>
        <w:pStyle w:val="Heading3"/>
      </w:pPr>
      <w:r>
        <w:rPr>
          <w:rFonts w:ascii="微软雅黑" w:hAnsi="微软雅黑" w:eastAsia="微软雅黑"/>
          <w:color w:val="2D5F9E"/>
          <w:sz w:val="26"/>
        </w:rPr>
        <w:t>22. 附件补充</w:t>
      </w:r>
    </w:p>
    <w:p>
      <w:pPr>
        <w:spacing w:after="120" w:line="336" w:lineRule="auto"/>
      </w:pPr>
      <w:r>
        <w:rPr>
          <w:rFonts w:ascii="微软雅黑" w:hAnsi="微软雅黑" w:eastAsia="微软雅黑"/>
        </w:rPr>
        <w:t>[填什么] 需上传的附件清单：</w:t>
      </w:r>
    </w:p>
    <w:p>
      <w:pPr>
        <w:spacing w:after="120" w:line="336" w:lineRule="auto"/>
        <w:ind w:left="340"/>
      </w:pPr>
      <w:r>
        <w:rPr>
          <w:rFonts w:ascii="微软雅黑" w:hAnsi="微软雅黑" w:eastAsia="微软雅黑"/>
        </w:rPr>
        <w:t>数据库表结构说明（表1至表5字段清单）</w:t>
      </w:r>
    </w:p>
    <w:p>
      <w:pPr>
        <w:spacing w:after="120" w:line="336" w:lineRule="auto"/>
        <w:ind w:left="340"/>
      </w:pPr>
      <w:r>
        <w:rPr>
          <w:rFonts w:ascii="微软雅黑" w:hAnsi="微软雅黑" w:eastAsia="微软雅黑"/>
        </w:rPr>
        <w:t>数据清单表（技术同事提供）</w:t>
      </w:r>
    </w:p>
    <w:p>
      <w:pPr>
        <w:spacing w:after="120" w:line="336" w:lineRule="auto"/>
        <w:ind w:left="340"/>
      </w:pPr>
      <w:r>
        <w:rPr>
          <w:rFonts w:ascii="微软雅黑" w:hAnsi="微软雅黑" w:eastAsia="微软雅黑"/>
        </w:rPr>
        <w:t>营业执照</w:t>
      </w:r>
    </w:p>
    <w:p>
      <w:pPr>
        <w:spacing w:after="120" w:line="336" w:lineRule="auto"/>
        <w:ind w:left="340"/>
      </w:pPr>
      <w:r>
        <w:rPr>
          <w:rFonts w:ascii="微软雅黑" w:hAnsi="微软雅黑" w:eastAsia="微软雅黑"/>
        </w:rPr>
        <w:t>计算机软件著作权登记证书</w:t>
      </w:r>
    </w:p>
    <w:p>
      <w:pPr>
        <w:spacing w:after="120" w:line="336" w:lineRule="auto"/>
        <w:ind w:left="340"/>
      </w:pPr>
      <w:r>
        <w:rPr>
          <w:rFonts w:ascii="微软雅黑" w:hAnsi="微软雅黑" w:eastAsia="微软雅黑"/>
        </w:rPr>
        <w:t>公有云备案证明</w:t>
      </w:r>
    </w:p>
    <w:p>
      <w:pPr>
        <w:spacing w:after="120" w:line="336" w:lineRule="auto"/>
        <w:ind w:left="340"/>
      </w:pPr>
      <w:r>
        <w:rPr>
          <w:rFonts w:ascii="微软雅黑" w:hAnsi="微软雅黑" w:eastAsia="微软雅黑"/>
        </w:rPr>
        <w:t>云平台侧安全等级保护证明（见第六部分）</w:t>
      </w:r>
    </w:p>
    <w:p>
      <w:pPr>
        <w:spacing w:after="120" w:line="336" w:lineRule="auto"/>
        <w:ind w:left="340"/>
      </w:pPr>
      <w:r>
        <w:rPr>
          <w:rFonts w:ascii="微软雅黑" w:hAnsi="微软雅黑" w:eastAsia="微软雅黑"/>
        </w:rPr>
        <w:t>数据安全管理制度等文件（见第六部分，待落章）</w:t>
      </w:r>
    </w:p>
    <w:p>
      <w:pPr>
        <w:spacing w:after="120" w:line="336" w:lineRule="auto"/>
      </w:pPr>
      <w:r>
        <w:rPr>
          <w:rFonts w:ascii="微软雅黑" w:hAnsi="微软雅黑" w:eastAsia="微软雅黑"/>
        </w:rPr>
        <w:t>[待确认] 具体附件格式与数量以平台要求为准</w:t>
      </w:r>
    </w:p>
    <w:p>
      <w:pPr>
        <w:spacing w:before="160" w:after="160"/>
      </w:pPr>
      <w:r>
        <w:rPr>
          <w:color w:val="BBBBBB"/>
          <w:sz w:val="16"/>
        </w:rPr>
        <w:t>──────────────────────────────────────────────────────────</w:t>
      </w:r>
    </w:p>
    <w:p>
      <w:pPr>
        <w:pStyle w:val="Heading2"/>
      </w:pPr>
      <w:r>
        <w:rPr>
          <w:rFonts w:ascii="微软雅黑" w:hAnsi="微软雅黑" w:eastAsia="微软雅黑"/>
          <w:color w:val="1A478A"/>
          <w:sz w:val="30"/>
        </w:rPr>
        <w:t>五、数据来源说明</w:t>
      </w:r>
    </w:p>
    <w:p>
      <w:pPr>
        <w:pStyle w:val="Heading3"/>
      </w:pPr>
      <w:r>
        <w:rPr>
          <w:rFonts w:ascii="微软雅黑" w:hAnsi="微软雅黑" w:eastAsia="微软雅黑"/>
          <w:color w:val="2D5F9E"/>
          <w:sz w:val="26"/>
        </w:rPr>
        <w:t>23. 数据类型</w:t>
      </w:r>
    </w:p>
    <w:p>
      <w:pPr>
        <w:spacing w:after="120" w:line="336" w:lineRule="auto"/>
      </w:pPr>
      <w:r>
        <w:rPr>
          <w:rFonts w:ascii="微软雅黑" w:hAnsi="微软雅黑" w:eastAsia="微软雅黑"/>
        </w:rPr>
        <w:t>[填什么] 原始数据 + 衍生数据</w:t>
      </w:r>
    </w:p>
    <w:p>
      <w:pPr>
        <w:spacing w:after="120" w:line="336" w:lineRule="auto"/>
      </w:pPr>
      <w:r>
        <w:rPr>
          <w:rFonts w:ascii="微软雅黑" w:hAnsi="微软雅黑" w:eastAsia="微软雅黑"/>
        </w:rPr>
        <w:t>[为什么]</w:t>
      </w:r>
    </w:p>
    <w:p>
      <w:pPr>
        <w:pStyle w:val="ListBullet"/>
        <w:spacing w:after="60"/>
      </w:pPr>
      <w:r>
        <w:rPr>
          <w:rFonts w:ascii="微软雅黑" w:hAnsi="微软雅黑" w:eastAsia="微软雅黑"/>
        </w:rPr>
        <w:t>原始数据——设备端回传的治疗过程数据、生理反馈参数</w:t>
      </w:r>
    </w:p>
    <w:p>
      <w:pPr>
        <w:pStyle w:val="ListBullet"/>
        <w:spacing w:after="60"/>
      </w:pPr>
      <w:r>
        <w:rPr>
          <w:rFonts w:ascii="微软雅黑" w:hAnsi="微软雅黑" w:eastAsia="微软雅黑"/>
        </w:rPr>
        <w:t>衍生数据——平台加工形成的统计结果、评估结论、报告数据</w:t>
      </w:r>
    </w:p>
    <w:p>
      <w:pPr>
        <w:pStyle w:val="Heading3"/>
      </w:pPr>
      <w:r>
        <w:rPr>
          <w:rFonts w:ascii="微软雅黑" w:hAnsi="微软雅黑" w:eastAsia="微软雅黑"/>
          <w:color w:val="2D5F9E"/>
          <w:sz w:val="26"/>
        </w:rPr>
        <w:t>24. 数据来源类型</w:t>
      </w:r>
    </w:p>
    <w:p>
      <w:pPr>
        <w:spacing w:after="120" w:line="336" w:lineRule="auto"/>
      </w:pPr>
      <w:r>
        <w:rPr>
          <w:rFonts w:ascii="微软雅黑" w:hAnsi="微软雅黑" w:eastAsia="微软雅黑"/>
        </w:rPr>
        <w:t>[填什么] 自有系统直接采集</w:t>
      </w:r>
    </w:p>
    <w:p>
      <w:pPr>
        <w:spacing w:after="120" w:line="336" w:lineRule="auto"/>
      </w:pPr>
      <w:r>
        <w:rPr>
          <w:rFonts w:ascii="微软雅黑" w:hAnsi="微软雅黑" w:eastAsia="微软雅黑"/>
        </w:rPr>
        <w:t>[为什么] 数据由圆爱康自有服务平台、自有物联网系统与自有服务团队在提供服务过程中直接产生，非外部购买、非第三方授权、非网络爬取</w:t>
      </w:r>
    </w:p>
    <w:p>
      <w:pPr>
        <w:pStyle w:val="Heading3"/>
      </w:pPr>
      <w:r>
        <w:rPr>
          <w:rFonts w:ascii="微软雅黑" w:hAnsi="微软雅黑" w:eastAsia="微软雅黑"/>
          <w:color w:val="2D5F9E"/>
          <w:sz w:val="26"/>
        </w:rPr>
        <w:t>25. 生成来源情况</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患者经合作医院医生评估开通方案后，在居家场景使用圆爱康生物反馈电刺激设备进行康复训练；设备通过蓝牙实时传输数据给App，App在用户训练完后将训练数据回传圆爱康平台；同时多师团队通过圆爱康服务App对患者进行远程评估、方案调整与随访，形成训练与服务双闭环数据。数据由圆爱康自有设备、平台与服务体系全流程产生。</w:t>
      </w:r>
    </w:p>
    <w:p>
      <w:pPr>
        <w:spacing w:after="120" w:line="336" w:lineRule="auto"/>
      </w:pPr>
      <w:r>
        <w:rPr>
          <w:rFonts w:ascii="微软雅黑" w:hAnsi="微软雅黑" w:eastAsia="微软雅黑"/>
        </w:rPr>
        <w:t>数据产生链路：使用者经合作医疗机构专业人员评估后开通康复方案，于居家场景使用圆爱康康复设备执行康复训练；设备通过蓝牙与物联网通道将治疗过程数据实时回传至圆爱康服务平台；同时多师服务团队通过圆爱康服务系统完成远程评估、方案调整、随访指导与效果评估，形成设备端与服务端双通道数据采集闭环。</w:t>
      </w:r>
    </w:p>
    <w:p>
      <w:pPr>
        <w:spacing w:after="120" w:line="336" w:lineRule="auto"/>
      </w:pPr>
      <w:r>
        <w:rPr>
          <w:rFonts w:ascii="微软雅黑" w:hAnsi="微软雅黑" w:eastAsia="微软雅黑"/>
        </w:rPr>
        <w:t>数据连续性说明：本数据集所依托的业务系统自2022年11月上线以来持续运行，未发生系统更换或数据迁移，数据完整连续、无断档，时间跨度完整覆盖2022年11月至今。</w:t>
      </w:r>
    </w:p>
    <w:p>
      <w:pPr>
        <w:spacing w:after="120" w:line="336" w:lineRule="auto"/>
      </w:pPr>
      <w:r>
        <w:rPr>
          <w:rFonts w:ascii="微软雅黑" w:hAnsi="微软雅黑" w:eastAsia="微软雅黑"/>
        </w:rPr>
        <w:t>[为什么] 这是平台必填的核心栏目，须说清数据"从哪来、怎么来、是否连续"</w:t>
      </w:r>
    </w:p>
    <w:p>
      <w:pPr>
        <w:pStyle w:val="Heading3"/>
      </w:pPr>
      <w:r>
        <w:rPr>
          <w:rFonts w:ascii="微软雅黑" w:hAnsi="微软雅黑" w:eastAsia="微软雅黑"/>
          <w:color w:val="2D5F9E"/>
          <w:sz w:val="26"/>
        </w:rPr>
        <w:t>26. 来源的佐证材料</w:t>
      </w:r>
    </w:p>
    <w:p>
      <w:pPr>
        <w:spacing w:after="120" w:line="336" w:lineRule="auto"/>
      </w:pPr>
      <w:r>
        <w:rPr>
          <w:rFonts w:ascii="微软雅黑" w:hAnsi="微软雅黑" w:eastAsia="微软雅黑"/>
        </w:rPr>
        <w:t>[填什么] 需上传的证明材料清单：</w:t>
      </w:r>
    </w:p>
    <w:p>
      <w:pPr>
        <w:spacing w:after="120" w:line="336" w:lineRule="auto"/>
        <w:ind w:left="340"/>
      </w:pPr>
      <w:r>
        <w:rPr>
          <w:rFonts w:ascii="微软雅黑" w:hAnsi="微软雅黑" w:eastAsia="微软雅黑"/>
        </w:rPr>
        <w:t>系统上线时间证明（系统日志或运维记录，证明2022年11月起持续运行未更换）</w:t>
      </w:r>
    </w:p>
    <w:p>
      <w:pPr>
        <w:spacing w:after="120" w:line="336" w:lineRule="auto"/>
        <w:ind w:left="340"/>
      </w:pPr>
      <w:r>
        <w:rPr>
          <w:rFonts w:ascii="微软雅黑" w:hAnsi="微软雅黑" w:eastAsia="微软雅黑"/>
        </w:rPr>
        <w:t>设备清单及设备归属说明（证明设备为圆爱康自有）</w:t>
      </w:r>
    </w:p>
    <w:p>
      <w:pPr>
        <w:spacing w:after="120" w:line="336" w:lineRule="auto"/>
        <w:ind w:left="340"/>
      </w:pPr>
      <w:r>
        <w:rPr>
          <w:rFonts w:ascii="微软雅黑" w:hAnsi="微软雅黑" w:eastAsia="微软雅黑"/>
        </w:rPr>
        <w:t>系统架构说明（证明平台为自有）</w:t>
      </w:r>
    </w:p>
    <w:p>
      <w:pPr>
        <w:spacing w:after="120" w:line="336" w:lineRule="auto"/>
        <w:ind w:left="340"/>
      </w:pPr>
      <w:r>
        <w:rPr>
          <w:rFonts w:ascii="微软雅黑" w:hAnsi="微软雅黑" w:eastAsia="微软雅黑"/>
        </w:rPr>
        <w:t>服务流程说明（证明数据由自有服务团队产生）</w:t>
      </w:r>
    </w:p>
    <w:p>
      <w:pPr>
        <w:spacing w:after="120" w:line="336" w:lineRule="auto"/>
        <w:ind w:left="340"/>
      </w:pPr>
      <w:r>
        <w:rPr>
          <w:rFonts w:ascii="微软雅黑" w:hAnsi="微软雅黑" w:eastAsia="微软雅黑"/>
        </w:rPr>
        <w:t>渠道编码（org_id）清单（证明数据来源渠道）</w:t>
      </w:r>
    </w:p>
    <w:p>
      <w:pPr>
        <w:spacing w:after="120" w:line="336" w:lineRule="auto"/>
      </w:pPr>
      <w:r>
        <w:rPr>
          <w:rFonts w:ascii="微软雅黑" w:hAnsi="微软雅黑" w:eastAsia="微软雅黑"/>
        </w:rPr>
        <w:t>[待确认] 上述材料形式需技术团队确认可提供哪些</w:t>
      </w:r>
    </w:p>
    <w:p>
      <w:pPr>
        <w:pStyle w:val="Heading3"/>
      </w:pPr>
      <w:r>
        <w:rPr>
          <w:rFonts w:ascii="微软雅黑" w:hAnsi="微软雅黑" w:eastAsia="微软雅黑"/>
          <w:color w:val="2D5F9E"/>
          <w:sz w:val="26"/>
        </w:rPr>
        <w:t>27. 特性分类的情况</w:t>
      </w:r>
    </w:p>
    <w:p>
      <w:pPr>
        <w:spacing w:after="120" w:line="336" w:lineRule="auto"/>
      </w:pPr>
      <w:r>
        <w:rPr>
          <w:rFonts w:ascii="微软雅黑" w:hAnsi="微软雅黑" w:eastAsia="微软雅黑"/>
        </w:rPr>
        <w:t>[填什么] 本数据集具有以下特性：</w:t>
      </w:r>
    </w:p>
    <w:p>
      <w:pPr>
        <w:spacing w:after="120" w:line="336" w:lineRule="auto"/>
      </w:pPr>
      <w:r>
        <w:rPr>
          <w:rFonts w:ascii="微软雅黑" w:hAnsi="微软雅黑" w:eastAsia="微软雅黑"/>
        </w:rPr>
        <w:t>一、数据形态特性——结构化数据与非结构化数据并存。结构化部分为数据库表记录（方案、疗程、处方执行、会话元数据），非结构化部分为波形图文件与文本内容。</w:t>
      </w:r>
    </w:p>
    <w:p>
      <w:pPr>
        <w:spacing w:after="120" w:line="336" w:lineRule="auto"/>
      </w:pPr>
      <w:r>
        <w:rPr>
          <w:rFonts w:ascii="微软雅黑" w:hAnsi="微软雅黑" w:eastAsia="微软雅黑"/>
        </w:rPr>
        <w:t>二、加工程度特性——原始数据与衍生数据并存。原始数据为设备端直接回传的治疗过程数据，衍生数据为平台加工形成的统计结果与评估数据。</w:t>
      </w:r>
    </w:p>
    <w:p>
      <w:pPr>
        <w:spacing w:after="120" w:line="336" w:lineRule="auto"/>
      </w:pPr>
      <w:r>
        <w:rPr>
          <w:rFonts w:ascii="微软雅黑" w:hAnsi="微软雅黑" w:eastAsia="微软雅黑"/>
        </w:rPr>
        <w:t>三、业务特性（描述用）——</w:t>
      </w:r>
    </w:p>
    <w:p>
      <w:pPr>
        <w:pStyle w:val="ListBullet"/>
        <w:spacing w:after="60"/>
      </w:pPr>
      <w:r>
        <w:rPr>
          <w:rFonts w:ascii="微软雅黑" w:hAnsi="微软雅黑" w:eastAsia="微软雅黑"/>
        </w:rPr>
        <w:t>时序性：数据按时间序列持续产生，完整记录治疗全过程的时间维度</w:t>
      </w:r>
    </w:p>
    <w:p>
      <w:pPr>
        <w:pStyle w:val="ListBullet"/>
        <w:spacing w:after="60"/>
      </w:pPr>
      <w:r>
        <w:rPr>
          <w:rFonts w:ascii="微软雅黑" w:hAnsi="微软雅黑" w:eastAsia="微软雅黑"/>
        </w:rPr>
        <w:t>闭环性：数据覆盖"方案下达—疗程执行—处方训练—设备回传—远程随访—效果评估"完整闭环</w:t>
      </w:r>
    </w:p>
    <w:p>
      <w:pPr>
        <w:pStyle w:val="ListBullet"/>
        <w:spacing w:after="60"/>
      </w:pPr>
      <w:r>
        <w:rPr>
          <w:rFonts w:ascii="微软雅黑" w:hAnsi="微软雅黑" w:eastAsia="微软雅黑"/>
        </w:rPr>
        <w:t>多主体协同性：数据由六类专业人员（专科医生、治疗师、专科护师、线下督导、设备工程师、线上专业客服）协同产生</w:t>
      </w:r>
    </w:p>
    <w:p>
      <w:pPr>
        <w:pStyle w:val="ListBullet"/>
        <w:spacing w:after="60"/>
      </w:pPr>
      <w:r>
        <w:rPr>
          <w:rFonts w:ascii="微软雅黑" w:hAnsi="微软雅黑" w:eastAsia="微软雅黑"/>
        </w:rPr>
        <w:t>居家场景真实性：数据产生于患者真实居家环境，非院内受控环境</w:t>
      </w:r>
    </w:p>
    <w:p>
      <w:pPr>
        <w:spacing w:after="120" w:line="336" w:lineRule="auto"/>
      </w:pPr>
      <w:r>
        <w:rPr>
          <w:rFonts w:ascii="微软雅黑" w:hAnsi="微软雅黑" w:eastAsia="微软雅黑"/>
        </w:rPr>
        <w:t>[为什么] 特性分类用于描述数据集特征，是登记信息的组成部分</w:t>
      </w:r>
    </w:p>
    <w:p>
      <w:pPr>
        <w:pStyle w:val="Heading3"/>
      </w:pPr>
      <w:r>
        <w:rPr>
          <w:rFonts w:ascii="微软雅黑" w:hAnsi="微软雅黑" w:eastAsia="微软雅黑"/>
          <w:color w:val="2D5F9E"/>
          <w:sz w:val="26"/>
        </w:rPr>
        <w:t>28. 特性佐证材料</w:t>
      </w:r>
    </w:p>
    <w:p>
      <w:pPr>
        <w:spacing w:after="120" w:line="336" w:lineRule="auto"/>
      </w:pPr>
      <w:r>
        <w:rPr>
          <w:rFonts w:ascii="微软雅黑" w:hAnsi="微软雅黑" w:eastAsia="微软雅黑"/>
        </w:rPr>
        <w:t>[填什么] 需上传的证明材料清单：</w:t>
      </w:r>
    </w:p>
    <w:p>
      <w:pPr>
        <w:spacing w:after="120" w:line="336" w:lineRule="auto"/>
        <w:ind w:left="340"/>
      </w:pPr>
      <w:r>
        <w:rPr>
          <w:rFonts w:ascii="微软雅黑" w:hAnsi="微软雅黑" w:eastAsia="微软雅黑"/>
        </w:rPr>
        <w:t>数据库表结构说明（佐证结构化特性）</w:t>
      </w:r>
    </w:p>
    <w:p>
      <w:pPr>
        <w:spacing w:after="120" w:line="336" w:lineRule="auto"/>
        <w:ind w:left="340"/>
      </w:pPr>
      <w:r>
        <w:rPr>
          <w:rFonts w:ascii="微软雅黑" w:hAnsi="微软雅黑" w:eastAsia="微软雅黑"/>
        </w:rPr>
        <w:t>波形图文件样例（佐证非结构化特性）</w:t>
      </w:r>
    </w:p>
    <w:p>
      <w:pPr>
        <w:spacing w:after="120" w:line="336" w:lineRule="auto"/>
        <w:ind w:left="340"/>
      </w:pPr>
      <w:r>
        <w:rPr>
          <w:rFonts w:ascii="微软雅黑" w:hAnsi="微软雅黑" w:eastAsia="微软雅黑"/>
        </w:rPr>
        <w:t>数据加工流程说明（佐证原始与衍生数据并存）</w:t>
      </w:r>
    </w:p>
    <w:p>
      <w:pPr>
        <w:spacing w:after="120" w:line="336" w:lineRule="auto"/>
        <w:ind w:left="340"/>
      </w:pPr>
      <w:r>
        <w:rPr>
          <w:rFonts w:ascii="微软雅黑" w:hAnsi="微软雅黑" w:eastAsia="微软雅黑"/>
        </w:rPr>
        <w:t>多师共管群记录样例（佐证多主体协同特性）</w:t>
      </w:r>
    </w:p>
    <w:p>
      <w:pPr>
        <w:spacing w:after="120" w:line="336" w:lineRule="auto"/>
        <w:ind w:left="340"/>
      </w:pPr>
      <w:r>
        <w:rPr>
          <w:rFonts w:ascii="微软雅黑" w:hAnsi="微软雅黑" w:eastAsia="微软雅黑"/>
        </w:rPr>
        <w:t>完整闭环流程说明（佐证闭环特性）</w:t>
      </w:r>
    </w:p>
    <w:p>
      <w:pPr>
        <w:spacing w:after="120" w:line="336" w:lineRule="auto"/>
      </w:pPr>
      <w:r>
        <w:rPr>
          <w:rFonts w:ascii="微软雅黑" w:hAnsi="微软雅黑" w:eastAsia="微软雅黑"/>
        </w:rPr>
        <w:t>[待确认] 需技术团队确认可提供哪些材料</w:t>
      </w:r>
    </w:p>
    <w:p>
      <w:pPr>
        <w:spacing w:before="160" w:after="160"/>
      </w:pPr>
      <w:r>
        <w:rPr>
          <w:color w:val="BBBBBB"/>
          <w:sz w:val="16"/>
        </w:rPr>
        <w:t>──────────────────────────────────────────────────────────</w:t>
      </w:r>
    </w:p>
    <w:p>
      <w:pPr>
        <w:pStyle w:val="Heading2"/>
      </w:pPr>
      <w:r>
        <w:rPr>
          <w:rFonts w:ascii="微软雅黑" w:hAnsi="微软雅黑" w:eastAsia="微软雅黑"/>
          <w:color w:val="1A478A"/>
          <w:sz w:val="30"/>
        </w:rPr>
        <w:t>六、安全机制建设说明</w:t>
      </w:r>
    </w:p>
    <w:p>
      <w:pPr>
        <w:pStyle w:val="Heading3"/>
      </w:pPr>
      <w:r>
        <w:rPr>
          <w:rFonts w:ascii="微软雅黑" w:hAnsi="微软雅黑" w:eastAsia="微软雅黑"/>
          <w:color w:val="2D5F9E"/>
          <w:sz w:val="26"/>
        </w:rPr>
        <w:t>29. 管理制度说明</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公司围绕数据安全建立管理制度体系，覆盖数据全生命周期管理。制度体系包括：</w:t>
      </w:r>
    </w:p>
    <w:p>
      <w:pPr>
        <w:spacing w:after="120" w:line="336" w:lineRule="auto"/>
      </w:pPr>
      <w:r>
        <w:rPr>
          <w:rFonts w:ascii="微软雅黑" w:hAnsi="微软雅黑" w:eastAsia="微软雅黑"/>
        </w:rPr>
        <w:t>一、数据安全管理制度——明确数据分类分级原则、数据访问权限管理、数据使用与流转规范、数据销毁流程。</w:t>
      </w:r>
    </w:p>
    <w:p>
      <w:pPr>
        <w:spacing w:after="120" w:line="336" w:lineRule="auto"/>
      </w:pPr>
      <w:r>
        <w:rPr>
          <w:rFonts w:ascii="微软雅黑" w:hAnsi="微软雅黑" w:eastAsia="微软雅黑"/>
        </w:rPr>
        <w:t>二、数据分类分级管理规范——按数据敏感程度划分等级，对不同等级数据设定差异化访问控制策略。</w:t>
      </w:r>
    </w:p>
    <w:p>
      <w:pPr>
        <w:spacing w:after="120" w:line="336" w:lineRule="auto"/>
      </w:pPr>
      <w:r>
        <w:rPr>
          <w:rFonts w:ascii="微软雅黑" w:hAnsi="微软雅黑" w:eastAsia="微软雅黑"/>
        </w:rPr>
        <w:t>三、数据安全事件应急预案——明确安全事件发现、上报、处置、复盘流程与责任人。</w:t>
      </w:r>
    </w:p>
    <w:p>
      <w:pPr>
        <w:spacing w:after="120" w:line="336" w:lineRule="auto"/>
      </w:pPr>
      <w:r>
        <w:rPr>
          <w:rFonts w:ascii="微软雅黑" w:hAnsi="微软雅黑" w:eastAsia="微软雅黑"/>
        </w:rPr>
        <w:t>四、数据访问与权限管理规定——按岗位职责分配系统权限，实行最小必要原则，定期复核权限。</w:t>
      </w:r>
    </w:p>
    <w:p>
      <w:pPr>
        <w:spacing w:after="120" w:line="336" w:lineRule="auto"/>
      </w:pPr>
      <w:r>
        <w:rPr>
          <w:rFonts w:ascii="微软雅黑" w:hAnsi="微软雅黑" w:eastAsia="微软雅黑"/>
        </w:rPr>
        <w:t>五、个人信息保护规范——明确个人信息收集、使用、存储的边界与去标识化要求。</w:t>
      </w:r>
    </w:p>
    <w:p>
      <w:pPr>
        <w:spacing w:after="120" w:line="336" w:lineRule="auto"/>
      </w:pPr>
      <w:r>
        <w:rPr>
          <w:rFonts w:ascii="微软雅黑" w:hAnsi="微软雅黑" w:eastAsia="微软雅黑"/>
        </w:rPr>
        <w:t>[待落章] 以上制度需公司确认实际建立的制度名称与内容，以实际制度文件为准。若公司现行制度名称不同，以实际制度文件为准填写。</w:t>
      </w:r>
    </w:p>
    <w:p>
      <w:pPr>
        <w:spacing w:after="120" w:line="336" w:lineRule="auto"/>
      </w:pPr>
      <w:r>
        <w:rPr>
          <w:rFonts w:ascii="微软雅黑" w:hAnsi="微软雅黑" w:eastAsia="微软雅黑"/>
        </w:rPr>
        <w:t>[材料] 数据安全管理制度、数据分类分级管理规范、数据安全事件应急预案、数据访问与权限管理规定、个人信息保护规范（待公司确认并盖章）</w:t>
      </w:r>
    </w:p>
    <w:p>
      <w:pPr>
        <w:pStyle w:val="Heading3"/>
      </w:pPr>
      <w:r>
        <w:rPr>
          <w:rFonts w:ascii="微软雅黑" w:hAnsi="微软雅黑" w:eastAsia="微软雅黑"/>
          <w:color w:val="2D5F9E"/>
          <w:sz w:val="26"/>
        </w:rPr>
        <w:t>30. 安全执行文件说明</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公司数据安全制度的执行记录与操作规范文件包括：</w:t>
      </w:r>
    </w:p>
    <w:p>
      <w:pPr>
        <w:spacing w:after="120" w:line="336" w:lineRule="auto"/>
      </w:pPr>
      <w:r>
        <w:rPr>
          <w:rFonts w:ascii="微软雅黑" w:hAnsi="微软雅黑" w:eastAsia="微软雅黑"/>
        </w:rPr>
        <w:t>一、权限配置记录——系统账号权限分配台账，记录各岗位人员系统权限范围与变更记录。</w:t>
      </w:r>
    </w:p>
    <w:p>
      <w:pPr>
        <w:spacing w:after="120" w:line="336" w:lineRule="auto"/>
      </w:pPr>
      <w:r>
        <w:rPr>
          <w:rFonts w:ascii="微软雅黑" w:hAnsi="微软雅黑" w:eastAsia="微软雅黑"/>
        </w:rPr>
        <w:t>二、操作日志规范——系统操作日志留存规范，明确日志记录范围、留存期限与查阅流程。</w:t>
      </w:r>
    </w:p>
    <w:p>
      <w:pPr>
        <w:spacing w:after="120" w:line="336" w:lineRule="auto"/>
      </w:pPr>
      <w:r>
        <w:rPr>
          <w:rFonts w:ascii="微软雅黑" w:hAnsi="微软雅黑" w:eastAsia="微软雅黑"/>
        </w:rPr>
        <w:t>三、数据备份与恢复记录——数据定期备份执行记录与恢复演练记录。</w:t>
      </w:r>
    </w:p>
    <w:p>
      <w:pPr>
        <w:spacing w:after="120" w:line="336" w:lineRule="auto"/>
      </w:pPr>
      <w:r>
        <w:rPr>
          <w:rFonts w:ascii="微软雅黑" w:hAnsi="微软雅黑" w:eastAsia="微软雅黑"/>
        </w:rPr>
        <w:t>四、安全培训记录——员工数据安全意识培训与考核记录。</w:t>
      </w:r>
    </w:p>
    <w:p>
      <w:pPr>
        <w:spacing w:after="120" w:line="336" w:lineRule="auto"/>
      </w:pPr>
      <w:r>
        <w:rPr>
          <w:rFonts w:ascii="微软雅黑" w:hAnsi="微软雅黑" w:eastAsia="微软雅黑"/>
        </w:rPr>
        <w:t>五、数据访问审批单——敏感数据访问的申请与审批留痕记录。</w:t>
      </w:r>
    </w:p>
    <w:p>
      <w:pPr>
        <w:spacing w:after="120" w:line="336" w:lineRule="auto"/>
      </w:pPr>
      <w:r>
        <w:rPr>
          <w:rFonts w:ascii="微软雅黑" w:hAnsi="微软雅黑" w:eastAsia="微软雅黑"/>
        </w:rPr>
        <w:t>[待落章] 以上执行文件需公司确认实际产生的记录形式与留存情况。</w:t>
      </w:r>
    </w:p>
    <w:p>
      <w:pPr>
        <w:spacing w:after="120" w:line="336" w:lineRule="auto"/>
      </w:pPr>
      <w:r>
        <w:rPr>
          <w:rFonts w:ascii="微软雅黑" w:hAnsi="微软雅黑" w:eastAsia="微软雅黑"/>
        </w:rPr>
        <w:t>[材料] 权限配置台账、操作日志留存说明、备份与恢复记录、安全培训记录、数据访问审批单（待公司确认）</w:t>
      </w:r>
    </w:p>
    <w:p>
      <w:pPr>
        <w:pStyle w:val="Heading3"/>
      </w:pPr>
      <w:r>
        <w:rPr>
          <w:rFonts w:ascii="微软雅黑" w:hAnsi="微软雅黑" w:eastAsia="微软雅黑"/>
          <w:color w:val="2D5F9E"/>
          <w:sz w:val="26"/>
        </w:rPr>
        <w:t>31. 安全保障能力说明</w:t>
      </w:r>
    </w:p>
    <w:p>
      <w:pPr>
        <w:pStyle w:val="Heading3"/>
      </w:pPr>
      <w:r>
        <w:rPr>
          <w:rFonts w:ascii="微软雅黑" w:hAnsi="微软雅黑" w:eastAsia="微软雅黑"/>
          <w:color w:val="2D5F9E"/>
          <w:sz w:val="26"/>
        </w:rPr>
        <w:t>31.1 安全等级保证能力证明</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本系统部署于阿里云公有云平台。云平台侧已通过国家信息安全等级保护三级测评，具备云平台层面的安全防护能力证明。</w:t>
      </w:r>
    </w:p>
    <w:p>
      <w:pPr>
        <w:spacing w:after="120" w:line="336" w:lineRule="auto"/>
      </w:pPr>
      <w:r>
        <w:rPr>
          <w:rFonts w:ascii="微软雅黑" w:hAnsi="微软雅黑" w:eastAsia="微软雅黑"/>
        </w:rPr>
        <w:t>系统自身采取的技术保障措施包括：数据传输加密（蓝牙通道加密传输、网络传输加密）、数据存储加密、访问权限分级控制、操作行为日志留存、数据去标识化处理（使用者身份以系统编码记录，不含姓名、身份证号、联系方式等个人信息）。</w:t>
      </w:r>
    </w:p>
    <w:p>
      <w:pPr>
        <w:spacing w:after="120" w:line="336" w:lineRule="auto"/>
      </w:pPr>
      <w:r>
        <w:rPr>
          <w:rFonts w:ascii="微软雅黑" w:hAnsi="微软雅黑" w:eastAsia="微软雅黑"/>
        </w:rPr>
        <w:t>[注意] 本项填写的是云平台侧安全等级保护证明。公司自有系统是否单独完成等级保护备案，需以实际备案情况为准，不得表述为"公司系统已通过等保三级"。</w:t>
      </w:r>
    </w:p>
    <w:p>
      <w:pPr>
        <w:spacing w:after="120" w:line="336" w:lineRule="auto"/>
      </w:pPr>
      <w:r>
        <w:rPr>
          <w:rFonts w:ascii="微软雅黑" w:hAnsi="微软雅黑" w:eastAsia="微软雅黑"/>
        </w:rPr>
        <w:t>[待确认] 需确认：1）阿里云等保证明的被保护对象表述；2）公司自有系统是否单独做过等保备案。</w:t>
      </w:r>
    </w:p>
    <w:p>
      <w:pPr>
        <w:spacing w:after="120" w:line="336" w:lineRule="auto"/>
      </w:pPr>
      <w:r>
        <w:rPr>
          <w:rFonts w:ascii="微软雅黑" w:hAnsi="微软雅黑" w:eastAsia="微软雅黑"/>
        </w:rPr>
        <w:t>[材料] 阿里云平台侧安全等级保护证明（待提供）</w:t>
      </w:r>
    </w:p>
    <w:p>
      <w:pPr>
        <w:pStyle w:val="Heading3"/>
      </w:pPr>
      <w:r>
        <w:rPr>
          <w:rFonts w:ascii="微软雅黑" w:hAnsi="微软雅黑" w:eastAsia="微软雅黑"/>
          <w:color w:val="2D5F9E"/>
          <w:sz w:val="26"/>
        </w:rPr>
        <w:t>31.2 数据管理能力证明</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公司具备数据管理能力，体现在：</w:t>
      </w:r>
    </w:p>
    <w:p>
      <w:pPr>
        <w:spacing w:after="120" w:line="336" w:lineRule="auto"/>
      </w:pPr>
      <w:r>
        <w:rPr>
          <w:rFonts w:ascii="微软雅黑" w:hAnsi="微软雅黑" w:eastAsia="微软雅黑"/>
        </w:rPr>
        <w:t>一、数据全流程留痕——从数据采集、传输、存储、加工到使用的全环节均有系统记录。</w:t>
      </w:r>
    </w:p>
    <w:p>
      <w:pPr>
        <w:spacing w:after="120" w:line="336" w:lineRule="auto"/>
      </w:pPr>
      <w:r>
        <w:rPr>
          <w:rFonts w:ascii="微软雅黑" w:hAnsi="微软雅黑" w:eastAsia="微软雅黑"/>
        </w:rPr>
        <w:t>二、数据质量保障——数据由自有设备与自有系统直接采集，来源唯一、格式统一，系统自2022年11月上线以来持续运行未更换，数据完整连续无断档。</w:t>
      </w:r>
    </w:p>
    <w:p>
      <w:pPr>
        <w:spacing w:after="120" w:line="336" w:lineRule="auto"/>
      </w:pPr>
      <w:r>
        <w:rPr>
          <w:rFonts w:ascii="微软雅黑" w:hAnsi="微软雅黑" w:eastAsia="微软雅黑"/>
        </w:rPr>
        <w:t>三、数据规模与技术能力匹配——累计逾32万条记录，覆盖15,257名使用者，具备承载持续采集与加工的系统能力。</w:t>
      </w:r>
    </w:p>
    <w:p>
      <w:pPr>
        <w:spacing w:after="120" w:line="336" w:lineRule="auto"/>
      </w:pPr>
      <w:r>
        <w:rPr>
          <w:rFonts w:ascii="微软雅黑" w:hAnsi="微软雅黑" w:eastAsia="微软雅黑"/>
        </w:rPr>
        <w:t>四、数据权属清晰——数据由公司自有设备、平台与服务体系全流程产生，权属关系明确。</w:t>
      </w:r>
    </w:p>
    <w:p>
      <w:pPr>
        <w:spacing w:after="120" w:line="336" w:lineRule="auto"/>
      </w:pPr>
      <w:r>
        <w:rPr>
          <w:rFonts w:ascii="微软雅黑" w:hAnsi="微软雅黑" w:eastAsia="微软雅黑"/>
        </w:rPr>
        <w:t>[佐证] 软件著作权登记证书、信息技术应用创新符合性测试证书、公有云备案证明、数据清单表</w:t>
      </w:r>
    </w:p>
    <w:p>
      <w:pPr>
        <w:spacing w:after="120" w:line="336" w:lineRule="auto"/>
      </w:pPr>
      <w:r>
        <w:rPr>
          <w:rFonts w:ascii="微软雅黑" w:hAnsi="微软雅黑" w:eastAsia="微软雅黑"/>
        </w:rPr>
        <w:t>[材料] 计算机软件著作权登记证书、信息技术应用创新符合性测试证书、公有云备案证明</w:t>
      </w:r>
    </w:p>
    <w:p>
      <w:pPr>
        <w:pStyle w:val="Heading3"/>
      </w:pPr>
      <w:r>
        <w:rPr>
          <w:rFonts w:ascii="微软雅黑" w:hAnsi="微软雅黑" w:eastAsia="微软雅黑"/>
          <w:color w:val="2D5F9E"/>
          <w:sz w:val="26"/>
        </w:rPr>
        <w:t>31.3 其他安全相关证明</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其他可提供的安全相关证明文件：</w:t>
      </w:r>
    </w:p>
    <w:p>
      <w:pPr>
        <w:spacing w:after="120" w:line="336" w:lineRule="auto"/>
      </w:pPr>
      <w:r>
        <w:rPr>
          <w:rFonts w:ascii="微软雅黑" w:hAnsi="微软雅黑" w:eastAsia="微软雅黑"/>
        </w:rPr>
        <w:t>一、信息技术应用创新符合性测试证书——证明系统通过信创符合性测试</w:t>
      </w:r>
    </w:p>
    <w:p>
      <w:pPr>
        <w:spacing w:after="120" w:line="336" w:lineRule="auto"/>
      </w:pPr>
      <w:r>
        <w:rPr>
          <w:rFonts w:ascii="微软雅黑" w:hAnsi="微软雅黑" w:eastAsia="微软雅黑"/>
        </w:rPr>
        <w:t>二、公有云备案证明——证明系统运行于合规公有云基础服务平台，具备完整服务合同与合规证明</w:t>
      </w:r>
    </w:p>
    <w:p>
      <w:pPr>
        <w:spacing w:after="120" w:line="336" w:lineRule="auto"/>
      </w:pPr>
      <w:r>
        <w:rPr>
          <w:rFonts w:ascii="微软雅黑" w:hAnsi="微软雅黑" w:eastAsia="微软雅黑"/>
        </w:rPr>
        <w:t>三、计算机软件著作权登记证书——证明系统为自主研发</w:t>
      </w:r>
    </w:p>
    <w:p>
      <w:pPr>
        <w:spacing w:after="120" w:line="336" w:lineRule="auto"/>
      </w:pPr>
      <w:r>
        <w:rPr>
          <w:rFonts w:ascii="微软雅黑" w:hAnsi="微软雅黑" w:eastAsia="微软雅黑"/>
        </w:rPr>
        <w:t>四、第二类医疗器械经营备案凭证——证明经营资质合规（备案编号：粤穗食药监械经营备20191831号）</w:t>
      </w:r>
    </w:p>
    <w:p>
      <w:pPr>
        <w:spacing w:after="120" w:line="336" w:lineRule="auto"/>
      </w:pPr>
      <w:r>
        <w:rPr>
          <w:rFonts w:ascii="微软雅黑" w:hAnsi="微软雅黑" w:eastAsia="微软雅黑"/>
        </w:rPr>
        <w:t>[为什么] 以上为公司现有可提供的资质证明文件</w:t>
      </w:r>
    </w:p>
    <w:p>
      <w:pPr>
        <w:spacing w:after="120" w:line="336" w:lineRule="auto"/>
      </w:pPr>
      <w:r>
        <w:rPr>
          <w:rFonts w:ascii="微软雅黑" w:hAnsi="微软雅黑" w:eastAsia="微软雅黑"/>
        </w:rPr>
        <w:t>[材料] 信息技术应用创新符合性测试证书、公有云备案证明、计算机软件著作权登记证书、第二类医疗器械经营备案凭证</w:t>
      </w:r>
    </w:p>
    <w:p>
      <w:pPr>
        <w:spacing w:before="160" w:after="160"/>
      </w:pPr>
      <w:r>
        <w:rPr>
          <w:color w:val="BBBBBB"/>
          <w:sz w:val="16"/>
        </w:rPr>
        <w:t>──────────────────────────────────────────────────────────</w:t>
      </w:r>
    </w:p>
    <w:p>
      <w:pPr>
        <w:pStyle w:val="Heading2"/>
      </w:pPr>
      <w:r>
        <w:rPr>
          <w:rFonts w:ascii="微软雅黑" w:hAnsi="微软雅黑" w:eastAsia="微软雅黑"/>
          <w:color w:val="1A478A"/>
          <w:sz w:val="30"/>
        </w:rPr>
        <w:t>七、数据形成方式（平台必填栏目）</w:t>
      </w:r>
    </w:p>
    <w:p>
      <w:pPr>
        <w:spacing w:after="120" w:line="336" w:lineRule="auto"/>
      </w:pPr>
      <w:r>
        <w:rPr>
          <w:rFonts w:ascii="微软雅黑" w:hAnsi="微软雅黑" w:eastAsia="微软雅黑"/>
        </w:rPr>
        <w:t>[填什么]</w:t>
      </w:r>
    </w:p>
    <w:p>
      <w:pPr>
        <w:spacing w:after="120" w:line="336" w:lineRule="auto"/>
      </w:pPr>
      <w:r>
        <w:rPr>
          <w:rFonts w:ascii="微软雅黑" w:hAnsi="微软雅黑" w:eastAsia="微软雅黑"/>
        </w:rPr>
        <w:t>患者经合作医院医生评估开通方案后，在居家场景使用圆爱康生物反馈电刺激设备进行康复训练；设备通过蓝牙实时传输数据给App，App在用户训练完后将训练数据回传圆爱康平台；同时多师团队通过圆爱康服务App对患者进行远程评估、方案调整与随访，形成训练与服务双闭环数据。数据由圆爱康自有设备、平台与服务体系全流程产生。</w:t>
      </w:r>
    </w:p>
    <w:p>
      <w:pPr>
        <w:spacing w:before="160" w:after="160"/>
      </w:pPr>
      <w:r>
        <w:rPr>
          <w:color w:val="BBBBBB"/>
          <w:sz w:val="16"/>
        </w:rPr>
        <w:t>──────────────────────────────────────────────────────────</w:t>
      </w:r>
    </w:p>
    <w:p>
      <w:pPr>
        <w:pStyle w:val="Heading2"/>
      </w:pPr>
      <w:r>
        <w:rPr>
          <w:rFonts w:ascii="微软雅黑" w:hAnsi="微软雅黑" w:eastAsia="微软雅黑"/>
          <w:color w:val="1A478A"/>
          <w:sz w:val="30"/>
        </w:rPr>
        <w:t>八、提交前自检清单</w:t>
      </w:r>
    </w:p>
    <w:p>
      <w:pPr>
        <w:pStyle w:val="ListBullet"/>
        <w:spacing w:after="60"/>
      </w:pPr>
      <w:r>
        <w:rPr>
          <w:rFonts w:ascii="微软雅黑" w:hAnsi="微软雅黑" w:eastAsia="微软雅黑"/>
        </w:rPr>
        <w:t>[ ] 数据名称中的数量与平台"数量/规模"栏保持一致（逾32万条）</w:t>
      </w:r>
    </w:p>
    <w:p>
      <w:pPr>
        <w:pStyle w:val="ListBullet"/>
        <w:spacing w:after="60"/>
      </w:pPr>
      <w:r>
        <w:rPr>
          <w:rFonts w:ascii="微软雅黑" w:hAnsi="微软雅黑" w:eastAsia="微软雅黑"/>
        </w:rPr>
        <w:t>[ ] 数据概述中各分项数字与技术同事提供的清单一致</w:t>
      </w:r>
    </w:p>
    <w:p>
      <w:pPr>
        <w:pStyle w:val="ListBullet"/>
        <w:spacing w:after="60"/>
      </w:pPr>
      <w:r>
        <w:rPr>
          <w:rFonts w:ascii="微软雅黑" w:hAnsi="微软雅黑" w:eastAsia="微软雅黑"/>
        </w:rPr>
        <w:t>[ ] 病种清单已按实际全部病种填写，不笼统写"盆底"</w:t>
      </w:r>
    </w:p>
    <w:p>
      <w:pPr>
        <w:pStyle w:val="ListBullet"/>
        <w:spacing w:after="60"/>
      </w:pPr>
      <w:r>
        <w:rPr>
          <w:rFonts w:ascii="微软雅黑" w:hAnsi="微软雅黑" w:eastAsia="微软雅黑"/>
        </w:rPr>
        <w:t>[ ] 统计分类代码填写为030306，非5位</w:t>
      </w:r>
    </w:p>
    <w:p>
      <w:pPr>
        <w:pStyle w:val="ListBullet"/>
        <w:spacing w:after="60"/>
      </w:pPr>
      <w:r>
        <w:rPr>
          <w:rFonts w:ascii="微软雅黑" w:hAnsi="微软雅黑" w:eastAsia="微软雅黑"/>
        </w:rPr>
        <w:t>[ ] 数据结构类型选"结构化"，数据形态选"表格+文本"</w:t>
      </w:r>
    </w:p>
    <w:p>
      <w:pPr>
        <w:pStyle w:val="ListBullet"/>
        <w:spacing w:after="60"/>
      </w:pPr>
      <w:r>
        <w:rPr>
          <w:rFonts w:ascii="微软雅黑" w:hAnsi="微软雅黑" w:eastAsia="微软雅黑"/>
        </w:rPr>
        <w:t>[ ] 数据来源栏未出现任何合作医院名称、患者姓名、医生姓名</w:t>
      </w:r>
    </w:p>
    <w:p>
      <w:pPr>
        <w:pStyle w:val="ListBullet"/>
        <w:spacing w:after="60"/>
      </w:pPr>
      <w:r>
        <w:rPr>
          <w:rFonts w:ascii="微软雅黑" w:hAnsi="微软雅黑" w:eastAsia="微软雅黑"/>
        </w:rPr>
        <w:t>[ ] 未出现疗效性表述（不写"治愈率""有效率"等）</w:t>
      </w:r>
    </w:p>
    <w:p>
      <w:pPr>
        <w:pStyle w:val="ListBullet"/>
        <w:spacing w:after="60"/>
      </w:pPr>
      <w:r>
        <w:rPr>
          <w:rFonts w:ascii="微软雅黑" w:hAnsi="微软雅黑" w:eastAsia="微软雅黑"/>
        </w:rPr>
        <w:t>[ ] 未出现设备注册证号以外的资质性承诺</w:t>
      </w:r>
    </w:p>
    <w:p>
      <w:pPr>
        <w:pStyle w:val="ListBullet"/>
        <w:spacing w:after="60"/>
      </w:pPr>
      <w:r>
        <w:rPr>
          <w:rFonts w:ascii="微软雅黑" w:hAnsi="微软雅黑" w:eastAsia="微软雅黑"/>
        </w:rPr>
        <w:t>[ ] 安全等级栏不表述为"公司系统已通过等保三级"，仅表述云平台侧证明</w:t>
      </w:r>
    </w:p>
    <w:p>
      <w:pPr>
        <w:pStyle w:val="ListBullet"/>
        <w:spacing w:after="60"/>
      </w:pPr>
      <w:r>
        <w:rPr>
          <w:rFonts w:ascii="微软雅黑" w:hAnsi="微软雅黑" w:eastAsia="微软雅黑"/>
        </w:rPr>
        <w:t>[ ] 时间跨度统一写"2022年11月至今"</w:t>
      </w:r>
    </w:p>
    <w:p>
      <w:pPr>
        <w:pStyle w:val="ListBullet"/>
        <w:spacing w:after="60"/>
      </w:pPr>
      <w:r>
        <w:rPr>
          <w:rFonts w:ascii="微软雅黑" w:hAnsi="微软雅黑" w:eastAsia="微软雅黑"/>
        </w:rPr>
        <w:t>[ ] 待落章文件已确认落章后再上传</w:t>
      </w:r>
    </w:p>
    <w:p>
      <w:pPr>
        <w:pStyle w:val="ListBullet"/>
        <w:spacing w:after="60"/>
      </w:pPr>
      <w:r>
        <w:rPr>
          <w:rFonts w:ascii="微软雅黑" w:hAnsi="微软雅黑" w:eastAsia="微软雅黑"/>
        </w:rPr>
        <w:t>[ ] 所属行业、登记类型、公示周期与平台实际栏目对应</w:t>
      </w:r>
    </w:p>
    <w:p>
      <w:pPr>
        <w:spacing w:before="160" w:after="160"/>
      </w:pPr>
      <w:r>
        <w:rPr>
          <w:color w:val="BBBBBB"/>
          <w:sz w:val="16"/>
        </w:rPr>
        <w:t>──────────────────────────────────────────────────────────</w:t>
      </w:r>
    </w:p>
    <w:p>
      <w:pPr>
        <w:pStyle w:val="Heading2"/>
      </w:pPr>
      <w:r>
        <w:rPr>
          <w:rFonts w:ascii="微软雅黑" w:hAnsi="微软雅黑" w:eastAsia="微软雅黑"/>
          <w:color w:val="1A478A"/>
          <w:sz w:val="30"/>
        </w:rPr>
        <w:t>九、待办事项清单（需公司配合）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序号</w:t>
            </w:r>
          </w:p>
        </w:tc>
        <w:tc>
          <w:tcPr>
            <w:tcW w:type="dxa" w:w="2160"/>
            <w:shd w:fill="1A478A" w:val="clear"/>
          </w:tcPr>
          <w:p>
            <w:r/>
            <w:r>
              <w:rPr>
                <w:rFonts w:ascii="微软雅黑" w:hAnsi="微软雅黑" w:eastAsia="微软雅黑"/>
                <w:b/>
                <w:color w:val="FFFFFF"/>
                <w:sz w:val="20"/>
              </w:rPr>
              <w:t>事项</w:t>
            </w:r>
          </w:p>
        </w:tc>
        <w:tc>
          <w:tcPr>
            <w:tcW w:type="dxa" w:w="2160"/>
            <w:shd w:fill="1A478A" w:val="clear"/>
          </w:tcPr>
          <w:p>
            <w:r/>
            <w:r>
              <w:rPr>
                <w:rFonts w:ascii="微软雅黑" w:hAnsi="微软雅黑" w:eastAsia="微软雅黑"/>
                <w:b/>
                <w:color w:val="FFFFFF"/>
                <w:sz w:val="20"/>
              </w:rPr>
              <w:t>责任方</w:t>
            </w:r>
          </w:p>
        </w:tc>
        <w:tc>
          <w:tcPr>
            <w:tcW w:type="dxa" w:w="2160"/>
            <w:shd w:fill="1A478A" w:val="clear"/>
          </w:tcPr>
          <w:p>
            <w:r/>
            <w:r>
              <w:rPr>
                <w:rFonts w:ascii="微软雅黑" w:hAnsi="微软雅黑" w:eastAsia="微软雅黑"/>
                <w:b/>
                <w:color w:val="FFFFFF"/>
                <w:sz w:val="20"/>
              </w:rPr>
              <w:t>说明</w:t>
            </w:r>
          </w:p>
        </w:tc>
      </w:tr>
      <w:tr>
        <w:tc>
          <w:tcPr>
            <w:tcW w:type="dxa" w:w="2160"/>
          </w:tcPr>
          <w:p>
            <w:r>
              <w:rPr>
                <w:rFonts w:ascii="微软雅黑" w:hAnsi="微软雅黑" w:eastAsia="微软雅黑"/>
                <w:sz w:val="20"/>
              </w:rPr>
            </w:r>
            <w:r>
              <w:rPr>
                <w:rFonts w:ascii="微软雅黑" w:hAnsi="微软雅黑" w:eastAsia="微软雅黑"/>
                <w:sz w:val="20"/>
              </w:rPr>
              <w:t>1</w:t>
            </w:r>
          </w:p>
        </w:tc>
        <w:tc>
          <w:tcPr>
            <w:tcW w:type="dxa" w:w="2160"/>
          </w:tcPr>
          <w:p>
            <w:r>
              <w:rPr>
                <w:rFonts w:ascii="微软雅黑" w:hAnsi="微软雅黑" w:eastAsia="微软雅黑"/>
                <w:sz w:val="20"/>
              </w:rPr>
            </w:r>
            <w:r>
              <w:rPr>
                <w:rFonts w:ascii="微软雅黑" w:hAnsi="微软雅黑" w:eastAsia="微软雅黑"/>
                <w:sz w:val="20"/>
              </w:rPr>
              <w:t>提供阿里云等保证明电子版</w:t>
            </w:r>
          </w:p>
        </w:tc>
        <w:tc>
          <w:tcPr>
            <w:tcW w:type="dxa" w:w="2160"/>
          </w:tcPr>
          <w:p>
            <w:r>
              <w:rPr>
                <w:rFonts w:ascii="微软雅黑" w:hAnsi="微软雅黑" w:eastAsia="微软雅黑"/>
                <w:sz w:val="20"/>
              </w:rPr>
            </w:r>
            <w:r>
              <w:rPr>
                <w:rFonts w:ascii="微软雅黑" w:hAnsi="微软雅黑" w:eastAsia="微软雅黑"/>
                <w:sz w:val="20"/>
              </w:rPr>
              <w:t>技术团队</w:t>
            </w:r>
          </w:p>
        </w:tc>
        <w:tc>
          <w:tcPr>
            <w:tcW w:type="dxa" w:w="2160"/>
          </w:tcPr>
          <w:p>
            <w:r>
              <w:rPr>
                <w:rFonts w:ascii="微软雅黑" w:hAnsi="微软雅黑" w:eastAsia="微软雅黑"/>
                <w:sz w:val="20"/>
              </w:rPr>
            </w:r>
            <w:r>
              <w:rPr>
                <w:rFonts w:ascii="微软雅黑" w:hAnsi="微软雅黑" w:eastAsia="微软雅黑"/>
                <w:sz w:val="20"/>
              </w:rPr>
              <w:t>重点看"被保护对象"表述</w:t>
            </w:r>
          </w:p>
        </w:tc>
      </w:tr>
      <w:tr>
        <w:tc>
          <w:tcPr>
            <w:tcW w:type="dxa" w:w="2160"/>
            <w:shd w:fill="F5F7FA" w:val="clear"/>
          </w:tcPr>
          <w:p>
            <w:r>
              <w:rPr>
                <w:rFonts w:ascii="微软雅黑" w:hAnsi="微软雅黑" w:eastAsia="微软雅黑"/>
                <w:sz w:val="20"/>
              </w:rPr>
            </w:r>
            <w:r>
              <w:rPr>
                <w:rFonts w:ascii="微软雅黑" w:hAnsi="微软雅黑" w:eastAsia="微软雅黑"/>
                <w:sz w:val="20"/>
              </w:rPr>
              <w:t>2</w:t>
            </w:r>
          </w:p>
        </w:tc>
        <w:tc>
          <w:tcPr>
            <w:tcW w:type="dxa" w:w="2160"/>
            <w:shd w:fill="F5F7FA" w:val="clear"/>
          </w:tcPr>
          <w:p>
            <w:r>
              <w:rPr>
                <w:rFonts w:ascii="微软雅黑" w:hAnsi="微软雅黑" w:eastAsia="微软雅黑"/>
                <w:sz w:val="20"/>
              </w:rPr>
            </w:r>
            <w:r>
              <w:rPr>
                <w:rFonts w:ascii="微软雅黑" w:hAnsi="微软雅黑" w:eastAsia="微软雅黑"/>
                <w:sz w:val="20"/>
              </w:rPr>
              <w:t>确认公司自有系统是否单独做过等保备案</w:t>
            </w:r>
          </w:p>
        </w:tc>
        <w:tc>
          <w:tcPr>
            <w:tcW w:type="dxa" w:w="2160"/>
            <w:shd w:fill="F5F7FA" w:val="clear"/>
          </w:tcPr>
          <w:p>
            <w:r>
              <w:rPr>
                <w:rFonts w:ascii="微软雅黑" w:hAnsi="微软雅黑" w:eastAsia="微软雅黑"/>
                <w:sz w:val="20"/>
              </w:rPr>
            </w:r>
            <w:r>
              <w:rPr>
                <w:rFonts w:ascii="微软雅黑" w:hAnsi="微软雅黑" w:eastAsia="微软雅黑"/>
                <w:sz w:val="20"/>
              </w:rPr>
              <w:t>技术团队</w:t>
            </w:r>
          </w:p>
        </w:tc>
        <w:tc>
          <w:tcPr>
            <w:tcW w:type="dxa" w:w="2160"/>
            <w:shd w:fill="F5F7FA" w:val="clear"/>
          </w:tcPr>
          <w:p>
            <w:r>
              <w:rPr>
                <w:rFonts w:ascii="微软雅黑" w:hAnsi="微软雅黑" w:eastAsia="微软雅黑"/>
                <w:sz w:val="20"/>
              </w:rPr>
            </w:r>
            <w:r>
              <w:rPr>
                <w:rFonts w:ascii="微软雅黑" w:hAnsi="微软雅黑" w:eastAsia="微软雅黑"/>
                <w:sz w:val="20"/>
              </w:rPr>
              <w:t>决定31.1如何表述</w:t>
            </w:r>
          </w:p>
        </w:tc>
      </w:tr>
      <w:tr>
        <w:tc>
          <w:tcPr>
            <w:tcW w:type="dxa" w:w="2160"/>
          </w:tcPr>
          <w:p>
            <w:r>
              <w:rPr>
                <w:rFonts w:ascii="微软雅黑" w:hAnsi="微软雅黑" w:eastAsia="微软雅黑"/>
                <w:sz w:val="20"/>
              </w:rPr>
            </w:r>
            <w:r>
              <w:rPr>
                <w:rFonts w:ascii="微软雅黑" w:hAnsi="微软雅黑" w:eastAsia="微软雅黑"/>
                <w:sz w:val="20"/>
              </w:rPr>
              <w:t>3</w:t>
            </w:r>
          </w:p>
        </w:tc>
        <w:tc>
          <w:tcPr>
            <w:tcW w:type="dxa" w:w="2160"/>
          </w:tcPr>
          <w:p>
            <w:r>
              <w:rPr>
                <w:rFonts w:ascii="微软雅黑" w:hAnsi="微软雅黑" w:eastAsia="微软雅黑"/>
                <w:sz w:val="20"/>
              </w:rPr>
            </w:r>
            <w:r>
              <w:rPr>
                <w:rFonts w:ascii="微软雅黑" w:hAnsi="微软雅黑" w:eastAsia="微软雅黑"/>
                <w:sz w:val="20"/>
              </w:rPr>
              <w:t>确认公司现行数据安全制度文件清单</w:t>
            </w:r>
          </w:p>
        </w:tc>
        <w:tc>
          <w:tcPr>
            <w:tcW w:type="dxa" w:w="2160"/>
          </w:tcPr>
          <w:p>
            <w:r>
              <w:rPr>
                <w:rFonts w:ascii="微软雅黑" w:hAnsi="微软雅黑" w:eastAsia="微软雅黑"/>
                <w:sz w:val="20"/>
              </w:rPr>
            </w:r>
            <w:r>
              <w:rPr>
                <w:rFonts w:ascii="微软雅黑" w:hAnsi="微软雅黑" w:eastAsia="微软雅黑"/>
                <w:sz w:val="20"/>
              </w:rPr>
              <w:t>技术团队/行政</w:t>
            </w:r>
          </w:p>
        </w:tc>
        <w:tc>
          <w:tcPr>
            <w:tcW w:type="dxa" w:w="2160"/>
          </w:tcPr>
          <w:p>
            <w:r>
              <w:rPr>
                <w:rFonts w:ascii="微软雅黑" w:hAnsi="微软雅黑" w:eastAsia="微软雅黑"/>
                <w:sz w:val="20"/>
              </w:rPr>
            </w:r>
            <w:r>
              <w:rPr>
                <w:rFonts w:ascii="微软雅黑" w:hAnsi="微软雅黑" w:eastAsia="微软雅黑"/>
                <w:sz w:val="20"/>
              </w:rPr>
              <w:t>决定29栏如何填写</w:t>
            </w:r>
          </w:p>
        </w:tc>
      </w:tr>
      <w:tr>
        <w:tc>
          <w:tcPr>
            <w:tcW w:type="dxa" w:w="2160"/>
            <w:shd w:fill="F5F7FA" w:val="clear"/>
          </w:tcPr>
          <w:p>
            <w:r>
              <w:rPr>
                <w:rFonts w:ascii="微软雅黑" w:hAnsi="微软雅黑" w:eastAsia="微软雅黑"/>
                <w:sz w:val="20"/>
              </w:rPr>
            </w:r>
            <w:r>
              <w:rPr>
                <w:rFonts w:ascii="微软雅黑" w:hAnsi="微软雅黑" w:eastAsia="微软雅黑"/>
                <w:sz w:val="20"/>
              </w:rPr>
              <w:t>4</w:t>
            </w:r>
          </w:p>
        </w:tc>
        <w:tc>
          <w:tcPr>
            <w:tcW w:type="dxa" w:w="2160"/>
            <w:shd w:fill="F5F7FA" w:val="clear"/>
          </w:tcPr>
          <w:p>
            <w:r>
              <w:rPr>
                <w:rFonts w:ascii="微软雅黑" w:hAnsi="微软雅黑" w:eastAsia="微软雅黑"/>
                <w:sz w:val="20"/>
              </w:rPr>
            </w:r>
            <w:r>
              <w:rPr>
                <w:rFonts w:ascii="微软雅黑" w:hAnsi="微软雅黑" w:eastAsia="微软雅黑"/>
                <w:sz w:val="20"/>
              </w:rPr>
              <w:t>确认安全执行记录留存情况</w:t>
            </w:r>
          </w:p>
        </w:tc>
        <w:tc>
          <w:tcPr>
            <w:tcW w:type="dxa" w:w="2160"/>
            <w:shd w:fill="F5F7FA" w:val="clear"/>
          </w:tcPr>
          <w:p>
            <w:r>
              <w:rPr>
                <w:rFonts w:ascii="微软雅黑" w:hAnsi="微软雅黑" w:eastAsia="微软雅黑"/>
                <w:sz w:val="20"/>
              </w:rPr>
            </w:r>
            <w:r>
              <w:rPr>
                <w:rFonts w:ascii="微软雅黑" w:hAnsi="微软雅黑" w:eastAsia="微软雅黑"/>
                <w:sz w:val="20"/>
              </w:rPr>
              <w:t>技术团队</w:t>
            </w:r>
          </w:p>
        </w:tc>
        <w:tc>
          <w:tcPr>
            <w:tcW w:type="dxa" w:w="2160"/>
            <w:shd w:fill="F5F7FA" w:val="clear"/>
          </w:tcPr>
          <w:p>
            <w:r>
              <w:rPr>
                <w:rFonts w:ascii="微软雅黑" w:hAnsi="微软雅黑" w:eastAsia="微软雅黑"/>
                <w:sz w:val="20"/>
              </w:rPr>
            </w:r>
            <w:r>
              <w:rPr>
                <w:rFonts w:ascii="微软雅黑" w:hAnsi="微软雅黑" w:eastAsia="微软雅黑"/>
                <w:sz w:val="20"/>
              </w:rPr>
              <w:t>决定30栏如何填写</w:t>
            </w:r>
          </w:p>
        </w:tc>
      </w:tr>
      <w:tr>
        <w:tc>
          <w:tcPr>
            <w:tcW w:type="dxa" w:w="2160"/>
          </w:tcPr>
          <w:p>
            <w:r>
              <w:rPr>
                <w:rFonts w:ascii="微软雅黑" w:hAnsi="微软雅黑" w:eastAsia="微软雅黑"/>
                <w:sz w:val="20"/>
              </w:rPr>
            </w:r>
            <w:r>
              <w:rPr>
                <w:rFonts w:ascii="微软雅黑" w:hAnsi="微软雅黑" w:eastAsia="微软雅黑"/>
                <w:sz w:val="20"/>
              </w:rPr>
              <w:t>5</w:t>
            </w:r>
          </w:p>
        </w:tc>
        <w:tc>
          <w:tcPr>
            <w:tcW w:type="dxa" w:w="2160"/>
          </w:tcPr>
          <w:p>
            <w:r>
              <w:rPr>
                <w:rFonts w:ascii="微软雅黑" w:hAnsi="微软雅黑" w:eastAsia="微软雅黑"/>
                <w:sz w:val="20"/>
              </w:rPr>
            </w:r>
            <w:r>
              <w:rPr>
                <w:rFonts w:ascii="微软雅黑" w:hAnsi="微软雅黑" w:eastAsia="微软雅黑"/>
                <w:sz w:val="20"/>
              </w:rPr>
              <w:t>确认可提供的来源佐证材料</w:t>
            </w:r>
          </w:p>
        </w:tc>
        <w:tc>
          <w:tcPr>
            <w:tcW w:type="dxa" w:w="2160"/>
          </w:tcPr>
          <w:p>
            <w:r>
              <w:rPr>
                <w:rFonts w:ascii="微软雅黑" w:hAnsi="微软雅黑" w:eastAsia="微软雅黑"/>
                <w:sz w:val="20"/>
              </w:rPr>
            </w:r>
            <w:r>
              <w:rPr>
                <w:rFonts w:ascii="微软雅黑" w:hAnsi="微软雅黑" w:eastAsia="微软雅黑"/>
                <w:sz w:val="20"/>
              </w:rPr>
              <w:t>技术团队</w:t>
            </w:r>
          </w:p>
        </w:tc>
        <w:tc>
          <w:tcPr>
            <w:tcW w:type="dxa" w:w="2160"/>
          </w:tcPr>
          <w:p>
            <w:r>
              <w:rPr>
                <w:rFonts w:ascii="微软雅黑" w:hAnsi="微软雅黑" w:eastAsia="微软雅黑"/>
                <w:sz w:val="20"/>
              </w:rPr>
            </w:r>
            <w:r>
              <w:rPr>
                <w:rFonts w:ascii="微软雅黑" w:hAnsi="微软雅黑" w:eastAsia="微软雅黑"/>
                <w:sz w:val="20"/>
              </w:rPr>
              <w:t>决定26栏内容</w:t>
            </w:r>
          </w:p>
        </w:tc>
      </w:tr>
      <w:tr>
        <w:tc>
          <w:tcPr>
            <w:tcW w:type="dxa" w:w="2160"/>
            <w:shd w:fill="F5F7FA" w:val="clear"/>
          </w:tcPr>
          <w:p>
            <w:r>
              <w:rPr>
                <w:rFonts w:ascii="微软雅黑" w:hAnsi="微软雅黑" w:eastAsia="微软雅黑"/>
                <w:sz w:val="20"/>
              </w:rPr>
            </w:r>
            <w:r>
              <w:rPr>
                <w:rFonts w:ascii="微软雅黑" w:hAnsi="微软雅黑" w:eastAsia="微软雅黑"/>
                <w:sz w:val="20"/>
              </w:rPr>
              <w:t>6</w:t>
            </w:r>
          </w:p>
        </w:tc>
        <w:tc>
          <w:tcPr>
            <w:tcW w:type="dxa" w:w="2160"/>
            <w:shd w:fill="F5F7FA" w:val="clear"/>
          </w:tcPr>
          <w:p>
            <w:r>
              <w:rPr>
                <w:rFonts w:ascii="微软雅黑" w:hAnsi="微软雅黑" w:eastAsia="微软雅黑"/>
                <w:sz w:val="20"/>
              </w:rPr>
            </w:r>
            <w:r>
              <w:rPr>
                <w:rFonts w:ascii="微软雅黑" w:hAnsi="微软雅黑" w:eastAsia="微软雅黑"/>
                <w:sz w:val="20"/>
              </w:rPr>
              <w:t>确认可提供的特性佐证材料</w:t>
            </w:r>
          </w:p>
        </w:tc>
        <w:tc>
          <w:tcPr>
            <w:tcW w:type="dxa" w:w="2160"/>
            <w:shd w:fill="F5F7FA" w:val="clear"/>
          </w:tcPr>
          <w:p>
            <w:r>
              <w:rPr>
                <w:rFonts w:ascii="微软雅黑" w:hAnsi="微软雅黑" w:eastAsia="微软雅黑"/>
                <w:sz w:val="20"/>
              </w:rPr>
            </w:r>
            <w:r>
              <w:rPr>
                <w:rFonts w:ascii="微软雅黑" w:hAnsi="微软雅黑" w:eastAsia="微软雅黑"/>
                <w:sz w:val="20"/>
              </w:rPr>
              <w:t>技术团队</w:t>
            </w:r>
          </w:p>
        </w:tc>
        <w:tc>
          <w:tcPr>
            <w:tcW w:type="dxa" w:w="2160"/>
            <w:shd w:fill="F5F7FA" w:val="clear"/>
          </w:tcPr>
          <w:p>
            <w:r>
              <w:rPr>
                <w:rFonts w:ascii="微软雅黑" w:hAnsi="微软雅黑" w:eastAsia="微软雅黑"/>
                <w:sz w:val="20"/>
              </w:rPr>
            </w:r>
            <w:r>
              <w:rPr>
                <w:rFonts w:ascii="微软雅黑" w:hAnsi="微软雅黑" w:eastAsia="微软雅黑"/>
                <w:sz w:val="20"/>
              </w:rPr>
              <w:t>决定28栏内容</w:t>
            </w:r>
          </w:p>
        </w:tc>
      </w:tr>
      <w:tr>
        <w:tc>
          <w:tcPr>
            <w:tcW w:type="dxa" w:w="2160"/>
          </w:tcPr>
          <w:p>
            <w:r>
              <w:rPr>
                <w:rFonts w:ascii="微软雅黑" w:hAnsi="微软雅黑" w:eastAsia="微软雅黑"/>
                <w:sz w:val="20"/>
              </w:rPr>
            </w:r>
            <w:r>
              <w:rPr>
                <w:rFonts w:ascii="微软雅黑" w:hAnsi="微软雅黑" w:eastAsia="微软雅黑"/>
                <w:sz w:val="20"/>
              </w:rPr>
              <w:t>7</w:t>
            </w:r>
          </w:p>
        </w:tc>
        <w:tc>
          <w:tcPr>
            <w:tcW w:type="dxa" w:w="2160"/>
          </w:tcPr>
          <w:p>
            <w:r>
              <w:rPr>
                <w:rFonts w:ascii="微软雅黑" w:hAnsi="微软雅黑" w:eastAsia="微软雅黑"/>
                <w:sz w:val="20"/>
              </w:rPr>
            </w:r>
            <w:r>
              <w:rPr>
                <w:rFonts w:ascii="微软雅黑" w:hAnsi="微软雅黑" w:eastAsia="微软雅黑"/>
                <w:sz w:val="20"/>
              </w:rPr>
              <w:t>确认数据覆盖省份清单</w:t>
            </w:r>
          </w:p>
        </w:tc>
        <w:tc>
          <w:tcPr>
            <w:tcW w:type="dxa" w:w="2160"/>
          </w:tcPr>
          <w:p>
            <w:r>
              <w:rPr>
                <w:rFonts w:ascii="微软雅黑" w:hAnsi="微软雅黑" w:eastAsia="微软雅黑"/>
                <w:sz w:val="20"/>
              </w:rPr>
            </w:r>
            <w:r>
              <w:rPr>
                <w:rFonts w:ascii="微软雅黑" w:hAnsi="微软雅黑" w:eastAsia="微软雅黑"/>
                <w:sz w:val="20"/>
              </w:rPr>
              <w:t>技术团队</w:t>
            </w:r>
          </w:p>
        </w:tc>
        <w:tc>
          <w:tcPr>
            <w:tcW w:type="dxa" w:w="2160"/>
          </w:tcPr>
          <w:p>
            <w:r>
              <w:rPr>
                <w:rFonts w:ascii="微软雅黑" w:hAnsi="微软雅黑" w:eastAsia="微软雅黑"/>
                <w:sz w:val="20"/>
              </w:rPr>
            </w:r>
            <w:r>
              <w:rPr>
                <w:rFonts w:ascii="微软雅黑" w:hAnsi="微软雅黑" w:eastAsia="微软雅黑"/>
                <w:sz w:val="20"/>
              </w:rPr>
              <w:t>按org_id渠道编码输出</w:t>
            </w:r>
          </w:p>
        </w:tc>
      </w:tr>
      <w:tr>
        <w:tc>
          <w:tcPr>
            <w:tcW w:type="dxa" w:w="2160"/>
            <w:shd w:fill="F5F7FA" w:val="clear"/>
          </w:tcPr>
          <w:p>
            <w:r>
              <w:rPr>
                <w:rFonts w:ascii="微软雅黑" w:hAnsi="微软雅黑" w:eastAsia="微软雅黑"/>
                <w:sz w:val="20"/>
              </w:rPr>
            </w:r>
            <w:r>
              <w:rPr>
                <w:rFonts w:ascii="微软雅黑" w:hAnsi="微软雅黑" w:eastAsia="微软雅黑"/>
                <w:sz w:val="20"/>
              </w:rPr>
              <w:t>8</w:t>
            </w:r>
          </w:p>
        </w:tc>
        <w:tc>
          <w:tcPr>
            <w:tcW w:type="dxa" w:w="2160"/>
            <w:shd w:fill="F5F7FA" w:val="clear"/>
          </w:tcPr>
          <w:p>
            <w:r>
              <w:rPr>
                <w:rFonts w:ascii="微软雅黑" w:hAnsi="微软雅黑" w:eastAsia="微软雅黑"/>
                <w:sz w:val="20"/>
              </w:rPr>
            </w:r>
            <w:r>
              <w:rPr>
                <w:rFonts w:ascii="微软雅黑" w:hAnsi="微软雅黑" w:eastAsia="微软雅黑"/>
                <w:sz w:val="20"/>
              </w:rPr>
              <w:t>制度文件落章</w:t>
            </w:r>
          </w:p>
        </w:tc>
        <w:tc>
          <w:tcPr>
            <w:tcW w:type="dxa" w:w="2160"/>
            <w:shd w:fill="F5F7FA" w:val="clear"/>
          </w:tcPr>
          <w:p>
            <w:r>
              <w:rPr>
                <w:rFonts w:ascii="微软雅黑" w:hAnsi="微软雅黑" w:eastAsia="微软雅黑"/>
                <w:sz w:val="20"/>
              </w:rPr>
            </w:r>
            <w:r>
              <w:rPr>
                <w:rFonts w:ascii="微软雅黑" w:hAnsi="微软雅黑" w:eastAsia="微软雅黑"/>
                <w:sz w:val="20"/>
              </w:rPr>
              <w:t>公司</w:t>
            </w:r>
          </w:p>
        </w:tc>
        <w:tc>
          <w:tcPr>
            <w:tcW w:type="dxa" w:w="2160"/>
            <w:shd w:fill="F5F7FA" w:val="clear"/>
          </w:tcPr>
          <w:p>
            <w:r>
              <w:rPr>
                <w:rFonts w:ascii="微软雅黑" w:hAnsi="微软雅黑" w:eastAsia="微软雅黑"/>
                <w:sz w:val="20"/>
              </w:rPr>
            </w:r>
            <w:r>
              <w:rPr>
                <w:rFonts w:ascii="微软雅黑" w:hAnsi="微软雅黑" w:eastAsia="微软雅黑"/>
                <w:sz w:val="20"/>
              </w:rPr>
              <w:t>重路材料</w:t>
            </w:r>
          </w:p>
        </w:tc>
      </w:tr>
    </w:tbl>
    <w:p/>
    <w:p>
      <w:pPr>
        <w:spacing w:before="160" w:after="160"/>
      </w:pPr>
      <w:r>
        <w:rPr>
          <w:color w:val="BBBBBB"/>
          <w:sz w:val="16"/>
        </w:rPr>
        <w:t>──────────────────────────────────────────────────────────</w:t>
      </w:r>
    </w:p>
    <w:p>
      <w:pPr>
        <w:spacing w:before="80" w:after="80" w:line="336" w:lineRule="auto"/>
        <w:ind w:left="454"/>
        <w:pBdr>
          <w:left w:val="single" w:sz="12" w:space="8" w:color="1A478A"/>
        </w:pBdr>
      </w:pPr>
      <w:r>
        <w:rPr>
          <w:rFonts w:ascii="微软雅黑" w:hAnsi="微软雅黑" w:eastAsia="微软雅黑"/>
        </w:rPr>
        <w:t>本稿由云端小鲸鱼编制。已核实数据口径以技术同事实测为准，标注"待确认""待落章"部分需公司确认后填写。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