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4B4A5">
      <w:pPr>
        <w:pStyle w:val="12"/>
        <w:widowControl/>
        <w:spacing w:line="540" w:lineRule="exact"/>
        <w:rPr>
          <w:rFonts w:ascii="仿宋_GB2312" w:hAnsi="仿宋_GB2312" w:eastAsia="仿宋_GB2312" w:cs="仿宋_GB2312"/>
          <w:b/>
          <w:bCs/>
          <w:sz w:val="32"/>
          <w:szCs w:val="32"/>
        </w:rPr>
      </w:pPr>
      <w:r>
        <w:rPr>
          <w:rFonts w:hint="eastAsia" w:ascii="仿宋_GB2312" w:hAnsi="仿宋_GB2312" w:eastAsia="仿宋_GB2312" w:cs="仿宋_GB2312"/>
          <w:sz w:val="32"/>
          <w:szCs w:val="32"/>
        </w:rPr>
        <w:t>附件</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w:t>
      </w:r>
      <w:r>
        <w:rPr>
          <w:rFonts w:hint="eastAsia" w:ascii="仿宋_GB2312" w:hAnsi="仿宋_GB2312" w:eastAsia="仿宋_GB2312" w:cs="仿宋_GB2312"/>
          <w:b/>
          <w:bCs/>
          <w:sz w:val="32"/>
          <w:szCs w:val="32"/>
        </w:rPr>
        <w:t xml:space="preserve">  </w:t>
      </w:r>
    </w:p>
    <w:p w14:paraId="503FEBDE">
      <w:pPr>
        <w:jc w:val="left"/>
        <w:rPr>
          <w:rFonts w:ascii="黑体" w:hAnsi="黑体" w:eastAsia="黑体"/>
          <w:sz w:val="24"/>
        </w:rPr>
      </w:pPr>
    </w:p>
    <w:p w14:paraId="37C35F4C">
      <w:pPr>
        <w:adjustRightInd w:val="0"/>
        <w:snapToGrid w:val="0"/>
        <w:spacing w:line="540" w:lineRule="exact"/>
        <w:jc w:val="center"/>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lang w:val="en-US" w:eastAsia="zh-CN"/>
        </w:rPr>
        <w:t>2026健康中国创新实践</w:t>
      </w:r>
      <w:r>
        <w:rPr>
          <w:rFonts w:hint="eastAsia" w:ascii="方正小标宋简体" w:hAnsi="方正小标宋简体" w:eastAsia="方正小标宋简体" w:cs="方正小标宋简体"/>
          <w:bCs/>
          <w:sz w:val="44"/>
          <w:szCs w:val="44"/>
        </w:rPr>
        <w:t>案例基本信息表</w:t>
      </w:r>
    </w:p>
    <w:p w14:paraId="2BEF96F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方正小标宋简体" w:hAnsi="方正小标宋简体" w:eastAsia="方正小标宋简体" w:cs="方正小标宋简体"/>
          <w:bCs/>
          <w:sz w:val="44"/>
          <w:szCs w:val="44"/>
        </w:rPr>
      </w:pPr>
    </w:p>
    <w:tbl>
      <w:tblPr>
        <w:tblStyle w:val="5"/>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128"/>
      </w:tblGrid>
      <w:tr w14:paraId="047E3C43">
        <w:trPr>
          <w:trHeight w:val="663" w:hRule="atLeast"/>
          <w:jc w:val="center"/>
        </w:trPr>
        <w:tc>
          <w:tcPr>
            <w:tcW w:w="1838" w:type="dxa"/>
            <w:shd w:val="clear" w:color="auto" w:fill="auto"/>
            <w:vAlign w:val="center"/>
          </w:tcPr>
          <w:p w14:paraId="0652829E">
            <w:pPr>
              <w:spacing w:line="540" w:lineRule="exact"/>
              <w:jc w:val="center"/>
              <w:rPr>
                <w:rFonts w:hint="eastAsia" w:eastAsia="仿宋" w:asciiTheme="minorHAnsi" w:hAnsiTheme="minorHAnsi" w:cstheme="minorBidi"/>
                <w:b/>
                <w:bCs/>
                <w:kern w:val="2"/>
                <w:sz w:val="24"/>
                <w:szCs w:val="22"/>
                <w:lang w:val="en-US" w:eastAsia="zh-CN" w:bidi="ar-SA"/>
              </w:rPr>
            </w:pPr>
            <w:r>
              <w:rPr>
                <w:rFonts w:hint="eastAsia" w:eastAsia="仿宋"/>
                <w:b/>
                <w:bCs/>
                <w:sz w:val="24"/>
                <w:lang w:eastAsia="zh-CN"/>
              </w:rPr>
              <w:t>案例名称</w:t>
            </w:r>
          </w:p>
        </w:tc>
        <w:tc>
          <w:tcPr>
            <w:tcW w:w="7128" w:type="dxa"/>
            <w:shd w:val="clear" w:color="auto" w:fill="auto"/>
            <w:vAlign w:val="center"/>
          </w:tcPr>
          <w:p w14:paraId="105E49D5">
            <w:pPr>
              <w:spacing w:line="540" w:lineRule="exact" w:before="0" w:after="0"/>
              <w:jc w:val="center"/>
              <w:rPr>
                <w:rFonts w:eastAsia="仿宋" w:asciiTheme="minorHAnsi" w:hAnsiTheme="minorHAnsi" w:cstheme="minorBidi"/>
                <w:kern w:val="2"/>
                <w:sz w:val="24"/>
                <w:szCs w:val="22"/>
                <w:lang w:val="en-US" w:eastAsia="zh-CN" w:bidi="ar-SA"/>
              </w:rPr>
            </w:pPr>
            <w:r>
              <w:rPr>
                <w:rFonts w:ascii="宋体" w:hAnsi="宋体" w:eastAsia="宋体" w:cs="宋体"/>
                <w:sz w:val="24"/>
              </w:rPr>
              <w:t>珠海市妇幼保健院从院内到院外女性全生命周期健康管理新模式实践案例</w:t>
            </w:r>
          </w:p>
        </w:tc>
      </w:tr>
      <w:tr w14:paraId="3908E142">
        <w:trPr>
          <w:trHeight w:val="663" w:hRule="atLeast"/>
          <w:jc w:val="center"/>
        </w:trPr>
        <w:tc>
          <w:tcPr>
            <w:tcW w:w="1838" w:type="dxa"/>
            <w:shd w:val="clear" w:color="auto" w:fill="auto"/>
            <w:vAlign w:val="center"/>
          </w:tcPr>
          <w:p w14:paraId="61852BE0">
            <w:pPr>
              <w:spacing w:line="540" w:lineRule="exact"/>
              <w:jc w:val="center"/>
              <w:rPr>
                <w:rFonts w:hint="default" w:eastAsia="仿宋" w:asciiTheme="minorHAnsi" w:hAnsiTheme="minorHAnsi" w:cstheme="minorBidi"/>
                <w:b/>
                <w:bCs/>
                <w:kern w:val="2"/>
                <w:sz w:val="24"/>
                <w:szCs w:val="22"/>
                <w:lang w:val="en-US" w:eastAsia="zh-CN" w:bidi="ar-SA"/>
              </w:rPr>
            </w:pPr>
            <w:r>
              <w:rPr>
                <w:rFonts w:hint="eastAsia" w:eastAsia="仿宋"/>
                <w:b/>
                <w:bCs/>
                <w:color w:val="0000FF"/>
                <w:sz w:val="24"/>
                <w:lang w:eastAsia="zh-CN"/>
              </w:rPr>
              <w:t>申报单位</w:t>
            </w:r>
            <w:r>
              <w:rPr>
                <w:rFonts w:hint="eastAsia" w:eastAsia="仿宋"/>
                <w:b/>
                <w:bCs/>
                <w:color w:val="0000FF"/>
                <w:sz w:val="24"/>
                <w:lang w:val="en-US" w:eastAsia="zh-CN"/>
              </w:rPr>
              <w:t>/科室</w:t>
            </w:r>
          </w:p>
        </w:tc>
        <w:tc>
          <w:tcPr>
            <w:tcW w:w="7128" w:type="dxa"/>
            <w:shd w:val="clear" w:color="auto" w:fill="auto"/>
            <w:vAlign w:val="center"/>
          </w:tcPr>
          <w:p w14:paraId="147CE129">
            <w:pPr>
              <w:spacing w:line="540" w:lineRule="exact" w:before="0" w:after="0"/>
              <w:jc w:val="center"/>
              <w:rPr>
                <w:rFonts w:eastAsia="仿宋" w:asciiTheme="minorHAnsi" w:hAnsiTheme="minorHAnsi" w:cstheme="minorBidi"/>
                <w:kern w:val="2"/>
                <w:sz w:val="24"/>
                <w:szCs w:val="22"/>
                <w:lang w:val="en-US" w:eastAsia="zh-CN" w:bidi="ar-SA"/>
              </w:rPr>
            </w:pPr>
            <w:r>
              <w:rPr>
                <w:rFonts w:ascii="宋体" w:hAnsi="宋体" w:eastAsia="宋体" w:cs="宋体"/>
                <w:sz w:val="24"/>
              </w:rPr>
              <w:t>珠海市妇幼保健院 妇产科 / 生殖健康（科室待确认）</w:t>
            </w:r>
          </w:p>
        </w:tc>
      </w:tr>
      <w:tr w14:paraId="4A650674">
        <w:trPr>
          <w:trHeight w:val="663" w:hRule="atLeast"/>
          <w:jc w:val="center"/>
        </w:trPr>
        <w:tc>
          <w:tcPr>
            <w:tcW w:w="1838" w:type="dxa"/>
            <w:shd w:val="clear" w:color="auto" w:fill="auto"/>
            <w:vAlign w:val="center"/>
          </w:tcPr>
          <w:p w14:paraId="45162FCF">
            <w:pPr>
              <w:spacing w:line="540" w:lineRule="exact"/>
              <w:jc w:val="center"/>
              <w:rPr>
                <w:rFonts w:hint="eastAsia" w:eastAsia="仿宋" w:asciiTheme="minorHAnsi" w:hAnsiTheme="minorHAnsi" w:cstheme="minorBidi"/>
                <w:b/>
                <w:bCs/>
                <w:kern w:val="2"/>
                <w:sz w:val="24"/>
                <w:szCs w:val="22"/>
                <w:lang w:val="en-US" w:eastAsia="zh-CN" w:bidi="ar-SA"/>
              </w:rPr>
            </w:pPr>
            <w:r>
              <w:rPr>
                <w:rFonts w:hint="eastAsia" w:eastAsia="仿宋"/>
                <w:b/>
                <w:bCs/>
                <w:sz w:val="24"/>
                <w:lang w:eastAsia="zh-CN"/>
              </w:rPr>
              <w:t>所在地区</w:t>
            </w:r>
          </w:p>
        </w:tc>
        <w:tc>
          <w:tcPr>
            <w:tcW w:w="7128" w:type="dxa"/>
            <w:shd w:val="clear" w:color="auto" w:fill="auto"/>
            <w:vAlign w:val="center"/>
          </w:tcPr>
          <w:p w14:paraId="7E48171E">
            <w:pPr>
              <w:spacing w:line="540" w:lineRule="exact" w:before="0" w:after="0"/>
              <w:jc w:val="center"/>
              <w:rPr>
                <w:rFonts w:hint="default" w:eastAsia="仿宋" w:asciiTheme="minorHAnsi" w:hAnsiTheme="minorHAnsi" w:cstheme="minorBidi"/>
                <w:kern w:val="2"/>
                <w:sz w:val="24"/>
                <w:szCs w:val="22"/>
                <w:lang w:val="en-US" w:eastAsia="zh-CN" w:bidi="ar-SA"/>
              </w:rPr>
            </w:pPr>
            <w:r>
              <w:rPr>
                <w:rFonts w:ascii="宋体" w:hAnsi="宋体" w:eastAsia="宋体" w:cs="宋体"/>
                <w:sz w:val="24"/>
              </w:rPr>
              <w:t>广东省珠海市</w:t>
            </w:r>
          </w:p>
        </w:tc>
      </w:tr>
      <w:tr w14:paraId="3A7B2A39">
        <w:trPr>
          <w:trHeight w:val="663" w:hRule="atLeast"/>
          <w:jc w:val="center"/>
        </w:trPr>
        <w:tc>
          <w:tcPr>
            <w:tcW w:w="1838" w:type="dxa"/>
            <w:shd w:val="clear" w:color="auto" w:fill="auto"/>
            <w:vAlign w:val="center"/>
          </w:tcPr>
          <w:p w14:paraId="554FD346">
            <w:pPr>
              <w:spacing w:line="540" w:lineRule="exact"/>
              <w:jc w:val="center"/>
              <w:rPr>
                <w:rFonts w:hint="eastAsia" w:eastAsia="仿宋"/>
                <w:b/>
                <w:bCs/>
                <w:sz w:val="24"/>
                <w:lang w:eastAsia="zh-CN"/>
              </w:rPr>
            </w:pPr>
            <w:r>
              <w:rPr>
                <w:rFonts w:hint="eastAsia" w:eastAsia="仿宋"/>
                <w:b/>
                <w:bCs/>
                <w:sz w:val="24"/>
                <w:lang w:eastAsia="zh-CN"/>
              </w:rPr>
              <w:t>联系人</w:t>
            </w:r>
          </w:p>
        </w:tc>
        <w:tc>
          <w:tcPr>
            <w:tcW w:w="7128" w:type="dxa"/>
            <w:shd w:val="clear" w:color="auto" w:fill="auto"/>
            <w:vAlign w:val="center"/>
          </w:tcPr>
          <w:p w14:paraId="1D2ABB3C">
            <w:pPr>
              <w:spacing w:line="540" w:lineRule="exact" w:before="0" w:after="0"/>
              <w:jc w:val="center"/>
              <w:rPr>
                <w:rFonts w:hint="eastAsia" w:eastAsia="仿宋"/>
                <w:sz w:val="24"/>
                <w:lang w:val="en-US" w:eastAsia="zh-CN"/>
              </w:rPr>
            </w:pPr>
          </w:p>
        </w:tc>
      </w:tr>
      <w:tr w14:paraId="1F2FBB48">
        <w:trPr>
          <w:trHeight w:val="663" w:hRule="atLeast"/>
          <w:jc w:val="center"/>
        </w:trPr>
        <w:tc>
          <w:tcPr>
            <w:tcW w:w="1838" w:type="dxa"/>
            <w:shd w:val="clear" w:color="auto" w:fill="auto"/>
            <w:vAlign w:val="center"/>
          </w:tcPr>
          <w:p w14:paraId="0D786127">
            <w:pPr>
              <w:spacing w:line="540" w:lineRule="exact"/>
              <w:jc w:val="center"/>
              <w:rPr>
                <w:rFonts w:hint="eastAsia" w:eastAsia="仿宋" w:asciiTheme="minorHAnsi" w:hAnsiTheme="minorHAnsi" w:cstheme="minorBidi"/>
                <w:b/>
                <w:bCs/>
                <w:kern w:val="2"/>
                <w:sz w:val="24"/>
                <w:szCs w:val="22"/>
                <w:lang w:val="en-US" w:eastAsia="zh-CN" w:bidi="ar-SA"/>
              </w:rPr>
            </w:pPr>
            <w:r>
              <w:rPr>
                <w:rFonts w:hint="eastAsia" w:eastAsia="仿宋"/>
                <w:b/>
                <w:bCs/>
                <w:sz w:val="24"/>
                <w:lang w:eastAsia="zh-CN"/>
              </w:rPr>
              <w:t>联系电话</w:t>
            </w:r>
          </w:p>
        </w:tc>
        <w:tc>
          <w:tcPr>
            <w:tcW w:w="7128" w:type="dxa"/>
            <w:shd w:val="clear" w:color="auto" w:fill="auto"/>
            <w:vAlign w:val="center"/>
          </w:tcPr>
          <w:p w14:paraId="1CCB0D82">
            <w:pPr>
              <w:spacing w:line="540" w:lineRule="exact" w:before="0" w:after="0"/>
              <w:jc w:val="center"/>
              <w:rPr>
                <w:rFonts w:hint="eastAsia" w:eastAsia="仿宋" w:asciiTheme="minorHAnsi" w:hAnsiTheme="minorHAnsi" w:cstheme="minorBidi"/>
                <w:kern w:val="2"/>
                <w:sz w:val="24"/>
                <w:szCs w:val="22"/>
                <w:lang w:val="en-US" w:eastAsia="zh-CN" w:bidi="ar-SA"/>
              </w:rPr>
            </w:pPr>
            <w:r>
              <w:rPr>
                <w:rFonts w:hint="eastAsia" w:eastAsia="宋体" w:ascii="宋体" w:hAnsi="宋体" w:cs="宋体"/>
                <w:sz w:val="24"/>
                <w:lang w:eastAsia="zh-CN"/>
              </w:rPr>
              <w:t>座机请填写区号</w:t>
            </w:r>
          </w:p>
        </w:tc>
      </w:tr>
      <w:tr w14:paraId="06D1334E">
        <w:trPr>
          <w:trHeight w:val="663" w:hRule="atLeast"/>
          <w:jc w:val="center"/>
        </w:trPr>
        <w:tc>
          <w:tcPr>
            <w:tcW w:w="1838" w:type="dxa"/>
            <w:shd w:val="clear" w:color="auto" w:fill="auto"/>
            <w:vAlign w:val="center"/>
          </w:tcPr>
          <w:p w14:paraId="0CD62FBD">
            <w:pPr>
              <w:spacing w:line="540" w:lineRule="exact"/>
              <w:jc w:val="center"/>
              <w:rPr>
                <w:rFonts w:hint="eastAsia" w:eastAsia="仿宋"/>
                <w:b/>
                <w:bCs/>
                <w:sz w:val="24"/>
                <w:lang w:eastAsia="zh-CN"/>
              </w:rPr>
            </w:pPr>
            <w:r>
              <w:rPr>
                <w:rFonts w:hint="eastAsia" w:eastAsia="仿宋"/>
                <w:b/>
                <w:bCs/>
                <w:sz w:val="24"/>
                <w:lang w:eastAsia="zh-CN"/>
              </w:rPr>
              <w:t>联系地址</w:t>
            </w:r>
          </w:p>
        </w:tc>
        <w:tc>
          <w:tcPr>
            <w:tcW w:w="7128" w:type="dxa"/>
            <w:shd w:val="clear" w:color="auto" w:fill="auto"/>
            <w:vAlign w:val="center"/>
          </w:tcPr>
          <w:p w14:paraId="1AD89DD5">
            <w:pPr>
              <w:spacing w:line="540" w:lineRule="exact" w:before="0" w:after="0"/>
              <w:jc w:val="center"/>
              <w:rPr>
                <w:rFonts w:hint="eastAsia" w:eastAsia="仿宋"/>
                <w:sz w:val="24"/>
                <w:lang w:val="en-US" w:eastAsia="zh-CN"/>
              </w:rPr>
            </w:pPr>
          </w:p>
        </w:tc>
      </w:tr>
      <w:tr w14:paraId="6136044A">
        <w:trPr>
          <w:trHeight w:val="663" w:hRule="atLeast"/>
          <w:jc w:val="center"/>
        </w:trPr>
        <w:tc>
          <w:tcPr>
            <w:tcW w:w="1838" w:type="dxa"/>
            <w:shd w:val="clear" w:color="auto" w:fill="auto"/>
            <w:vAlign w:val="center"/>
          </w:tcPr>
          <w:p w14:paraId="5C379759">
            <w:pPr>
              <w:spacing w:line="540" w:lineRule="exact"/>
              <w:jc w:val="center"/>
              <w:rPr>
                <w:rFonts w:hint="eastAsia" w:eastAsia="仿宋"/>
                <w:b/>
                <w:bCs/>
                <w:sz w:val="24"/>
                <w:lang w:eastAsia="zh-CN"/>
              </w:rPr>
            </w:pPr>
            <w:r>
              <w:rPr>
                <w:rFonts w:hint="eastAsia" w:eastAsia="仿宋"/>
                <w:b/>
                <w:bCs/>
                <w:sz w:val="24"/>
                <w:lang w:eastAsia="zh-CN"/>
              </w:rPr>
              <w:t>电子邮箱</w:t>
            </w:r>
          </w:p>
        </w:tc>
        <w:tc>
          <w:tcPr>
            <w:tcW w:w="7128" w:type="dxa"/>
            <w:shd w:val="clear" w:color="auto" w:fill="auto"/>
            <w:vAlign w:val="center"/>
          </w:tcPr>
          <w:p w14:paraId="437546D3">
            <w:pPr>
              <w:spacing w:line="540" w:lineRule="exact" w:before="0" w:after="0"/>
              <w:jc w:val="center"/>
              <w:rPr>
                <w:rFonts w:hint="eastAsia" w:eastAsia="仿宋"/>
                <w:sz w:val="24"/>
                <w:lang w:val="en-US" w:eastAsia="zh-CN"/>
              </w:rPr>
            </w:pPr>
          </w:p>
        </w:tc>
      </w:tr>
      <w:tr w14:paraId="366BD934">
        <w:trPr>
          <w:trHeight w:val="663" w:hRule="atLeast"/>
          <w:jc w:val="center"/>
        </w:trPr>
        <w:tc>
          <w:tcPr>
            <w:tcW w:w="1838" w:type="dxa"/>
            <w:vAlign w:val="center"/>
          </w:tcPr>
          <w:p w14:paraId="36485546">
            <w:pPr>
              <w:spacing w:line="540" w:lineRule="exact"/>
              <w:jc w:val="center"/>
              <w:rPr>
                <w:rFonts w:hint="eastAsia" w:eastAsia="仿宋"/>
                <w:b/>
                <w:bCs/>
                <w:sz w:val="24"/>
                <w:lang w:eastAsia="zh-CN"/>
              </w:rPr>
            </w:pPr>
            <w:r>
              <w:rPr>
                <w:rFonts w:hint="eastAsia" w:eastAsia="仿宋"/>
                <w:b/>
                <w:bCs/>
                <w:sz w:val="24"/>
                <w:lang w:eastAsia="zh-CN"/>
              </w:rPr>
              <w:t>案例类型</w:t>
            </w:r>
          </w:p>
        </w:tc>
        <w:tc>
          <w:tcPr>
            <w:tcW w:w="7128" w:type="dxa"/>
            <w:vAlign w:val="center"/>
          </w:tcPr>
          <w:p w14:paraId="60AC50AD">
            <w:pPr>
              <w:spacing w:line="540" w:lineRule="exact" w:before="0" w:after="0"/>
              <w:jc w:val="center"/>
              <w:rPr>
                <w:rFonts w:eastAsia="仿宋"/>
                <w:sz w:val="24"/>
              </w:rPr>
            </w:pPr>
            <w:r>
              <w:rPr>
                <w:rFonts w:ascii="宋体" w:hAnsi="宋体" w:eastAsia="宋体" w:cs="宋体"/>
                <w:sz w:val="24"/>
              </w:rPr>
              <w:t>二、健康学校建设与全生命周期健康促进</w:t>
            </w:r>
          </w:p>
        </w:tc>
      </w:tr>
      <w:tr w14:paraId="3FEAE6FF">
        <w:trPr>
          <w:trHeight w:val="663" w:hRule="atLeast"/>
          <w:jc w:val="center"/>
        </w:trPr>
        <w:tc>
          <w:tcPr>
            <w:tcW w:w="1838" w:type="dxa"/>
            <w:vAlign w:val="center"/>
          </w:tcPr>
          <w:p w14:paraId="31684D73">
            <w:pPr>
              <w:spacing w:line="540" w:lineRule="exact"/>
              <w:jc w:val="center"/>
              <w:rPr>
                <w:rFonts w:hint="default" w:eastAsia="仿宋"/>
                <w:b/>
                <w:bCs/>
                <w:sz w:val="24"/>
                <w:lang w:val="en-US" w:eastAsia="zh-CN"/>
              </w:rPr>
            </w:pPr>
            <w:r>
              <w:rPr>
                <w:rFonts w:hint="eastAsia" w:eastAsia="仿宋"/>
                <w:b/>
                <w:bCs/>
                <w:color w:val="0000FF"/>
                <w:sz w:val="24"/>
                <w:lang w:eastAsia="zh-CN"/>
              </w:rPr>
              <w:t>推荐单位</w:t>
            </w:r>
          </w:p>
        </w:tc>
        <w:tc>
          <w:tcPr>
            <w:tcW w:w="7128" w:type="dxa"/>
            <w:vAlign w:val="center"/>
          </w:tcPr>
          <w:p w14:paraId="7EBC412B">
            <w:pPr>
              <w:spacing w:line="540" w:lineRule="exact" w:before="0" w:after="0"/>
              <w:jc w:val="center"/>
              <w:rPr>
                <w:rFonts w:hint="eastAsia" w:eastAsia="仿宋"/>
                <w:sz w:val="24"/>
                <w:lang w:eastAsia="zh-CN"/>
              </w:rPr>
            </w:pPr>
            <w:r>
              <w:rPr>
                <w:rFonts w:hint="eastAsia" w:eastAsia="宋体" w:ascii="宋体" w:hAnsi="宋体" w:cs="宋体"/>
                <w:sz w:val="24"/>
                <w:lang w:eastAsia="zh-CN"/>
              </w:rPr>
              <w:t>为相关指导单位或上级单位</w:t>
            </w:r>
          </w:p>
        </w:tc>
      </w:tr>
      <w:tr w14:paraId="283E2224">
        <w:trPr>
          <w:trHeight w:val="663" w:hRule="atLeast"/>
          <w:jc w:val="center"/>
        </w:trPr>
        <w:tc>
          <w:tcPr>
            <w:tcW w:w="1838" w:type="dxa"/>
            <w:vAlign w:val="center"/>
          </w:tcPr>
          <w:p w14:paraId="5F8B9EEA">
            <w:pPr>
              <w:spacing w:line="540" w:lineRule="exact"/>
              <w:jc w:val="center"/>
              <w:rPr>
                <w:rFonts w:hint="eastAsia" w:eastAsia="仿宋"/>
                <w:b/>
                <w:bCs/>
                <w:sz w:val="24"/>
                <w:lang w:eastAsia="zh-CN"/>
              </w:rPr>
            </w:pPr>
            <w:r>
              <w:rPr>
                <w:rFonts w:hint="eastAsia" w:eastAsia="仿宋"/>
                <w:b/>
                <w:bCs/>
                <w:sz w:val="24"/>
                <w:lang w:eastAsia="zh-CN"/>
              </w:rPr>
              <w:t>所在地区</w:t>
            </w:r>
          </w:p>
        </w:tc>
        <w:tc>
          <w:tcPr>
            <w:tcW w:w="7128" w:type="dxa"/>
            <w:vAlign w:val="center"/>
          </w:tcPr>
          <w:p w14:paraId="7D86812B">
            <w:pPr>
              <w:spacing w:line="540" w:lineRule="exact" w:before="0" w:after="0"/>
              <w:jc w:val="center"/>
              <w:rPr>
                <w:rFonts w:hint="default" w:eastAsia="仿宋"/>
                <w:sz w:val="24"/>
                <w:lang w:val="en-US" w:eastAsia="zh-CN"/>
              </w:rPr>
            </w:pPr>
            <w:r>
              <w:rPr>
                <w:rFonts w:hint="eastAsia" w:eastAsia="宋体" w:ascii="宋体" w:hAnsi="宋体" w:cs="宋体"/>
                <w:sz w:val="24"/>
                <w:lang w:val="en-US" w:eastAsia="zh-CN"/>
              </w:rPr>
              <w:t>XX省XX市</w:t>
            </w:r>
          </w:p>
        </w:tc>
      </w:tr>
      <w:tr w14:paraId="3562C25D">
        <w:trPr>
          <w:trHeight w:val="4902" w:hRule="atLeast"/>
          <w:jc w:val="center"/>
        </w:trPr>
        <w:tc>
          <w:tcPr>
            <w:tcW w:w="1838" w:type="dxa"/>
            <w:vAlign w:val="center"/>
          </w:tcPr>
          <w:p w14:paraId="7E398D7E">
            <w:pPr>
              <w:spacing w:line="540" w:lineRule="exact"/>
              <w:jc w:val="center"/>
              <w:rPr>
                <w:rFonts w:hint="eastAsia" w:eastAsia="仿宋"/>
                <w:b/>
                <w:bCs/>
                <w:sz w:val="24"/>
                <w:lang w:eastAsia="zh-CN"/>
              </w:rPr>
            </w:pPr>
            <w:r>
              <w:rPr>
                <w:rFonts w:hint="eastAsia" w:eastAsia="仿宋"/>
                <w:b/>
                <w:bCs/>
                <w:sz w:val="24"/>
                <w:lang w:eastAsia="zh-CN"/>
              </w:rPr>
              <w:t>案例摘要</w:t>
            </w:r>
          </w:p>
          <w:p w14:paraId="4F476502">
            <w:pPr>
              <w:spacing w:line="540" w:lineRule="exact"/>
              <w:jc w:val="center"/>
              <w:rPr>
                <w:rFonts w:eastAsia="仿宋"/>
                <w:b/>
                <w:bCs/>
                <w:sz w:val="24"/>
              </w:rPr>
            </w:pPr>
            <w:r>
              <w:rPr>
                <w:rFonts w:hint="eastAsia" w:eastAsia="仿宋"/>
                <w:b/>
                <w:bCs/>
                <w:sz w:val="24"/>
              </w:rPr>
              <w:t>（</w:t>
            </w:r>
            <w:r>
              <w:rPr>
                <w:rFonts w:hint="eastAsia" w:eastAsia="仿宋"/>
                <w:b/>
                <w:bCs/>
                <w:sz w:val="24"/>
                <w:lang w:val="en-US" w:eastAsia="zh-CN"/>
              </w:rPr>
              <w:t>5</w:t>
            </w:r>
            <w:r>
              <w:rPr>
                <w:rFonts w:hint="eastAsia" w:eastAsia="仿宋"/>
                <w:b/>
                <w:bCs/>
                <w:sz w:val="24"/>
              </w:rPr>
              <w:t>00字以内）</w:t>
            </w:r>
          </w:p>
        </w:tc>
        <w:tc>
          <w:tcPr>
            <w:tcW w:w="7128" w:type="dxa"/>
            <w:vAlign w:val="center"/>
          </w:tcPr>
          <w:p>
            <w:pPr>
              <w:spacing w:lineRule="exact" w:line="540" w:before="0" w:after="0"/>
              <w:jc w:val="both"/>
            </w:pPr>
            <w:r>
              <w:rPr>
                <w:rFonts w:ascii="宋体" w:hAnsi="宋体" w:eastAsia="宋体" w:cs="宋体"/>
                <w:sz w:val="24"/>
              </w:rPr>
              <w:t>在妇幼健康服务中，相当一部分治疗并非一次门诊或一个疗程即可完成，而须经由长期、连续的干预方能显现效果。而常规模式下，医院的专业管理通常以院内为界——患者离院后即脱离持续的专业跟进，疗程往往中途中断，治疗难以坚持至足以见效的时长。珠海市妇幼保健院由此建立“院内评估开方、院外持续管理”的服务模式：患者在院完成评估、明确个体化方案后，将治疗延续至院外，由医院组建的团队依托远程数据回传，持续跟进治疗执行、给予督导并按期复评，将常规以“院内”为终点的单项服务，转变为覆盖治疗全程的连续管理，从机制上解决长期治疗“出院即断、难以坚持”的难题。本案例以子宫内膜损伤修复为典型：一位34岁育龄女性因清宫手术损伤子宫内膜、内膜偏薄，难以满足受孕所需；她在本院启动内膜修复，并于院外持续管理机制下连续完成多疗程、跨数月的内膜养护，子宫内膜逐步增厚、多次复查达到受孕所需的基础条件，为后续生育打下前提。该模式使需长期才见效的治疗得以被执行到底：将管理从院内延伸至院外，有助于长期健康干预落地见效，从源头守护女性生育能力，是妇幼全生命周期健康管理的创新实践。</w:t>
            </w:r>
          </w:p>
        </w:tc>
      </w:tr>
      <w:tr w14:paraId="1BC60AE9">
        <w:trPr>
          <w:trHeight w:val="3451" w:hRule="atLeast"/>
          <w:jc w:val="center"/>
        </w:trPr>
        <w:tc>
          <w:tcPr>
            <w:tcW w:w="1838" w:type="dxa"/>
            <w:vAlign w:val="center"/>
          </w:tcPr>
          <w:p w14:paraId="7B415EE2">
            <w:pPr>
              <w:spacing w:line="540" w:lineRule="exact"/>
              <w:jc w:val="center"/>
              <w:rPr>
                <w:rFonts w:eastAsia="仿宋"/>
                <w:b/>
                <w:bCs/>
                <w:sz w:val="24"/>
              </w:rPr>
            </w:pPr>
            <w:r>
              <w:rPr>
                <w:rFonts w:hint="eastAsia" w:eastAsia="仿宋"/>
                <w:b/>
                <w:bCs/>
                <w:sz w:val="24"/>
                <w:lang w:eastAsia="zh-CN"/>
              </w:rPr>
              <w:t>案例背景</w:t>
            </w:r>
          </w:p>
        </w:tc>
        <w:tc>
          <w:tcPr>
            <w:tcW w:w="7128" w:type="dxa"/>
            <w:vAlign w:val="center"/>
          </w:tcPr>
          <w:p w14:paraId="15E20AD3">
            <w:pPr>
              <w:spacing w:line="540" w:lineRule="exact" w:before="0" w:after="0"/>
              <w:rPr>
                <w:rFonts w:hint="eastAsia" w:eastAsia="仿宋"/>
                <w:sz w:val="24"/>
                <w:lang w:eastAsia="zh-CN"/>
              </w:rPr>
            </w:pPr>
            <w:r>
              <w:rPr>
                <w:rFonts w:ascii="宋体" w:hAnsi="宋体" w:eastAsia="宋体" w:cs="宋体"/>
                <w:sz w:val="24"/>
              </w:rPr>
              <w:t>我国妇幼健康领域，相当一部分治疗并非短期可完成，而需要以月计的长期连续干预才能见效。然而这类治疗普遍面临一个现实难题：患者难以长期坚持。医院的传统服务以院内为边界，患者在院内有人照护与督促，一旦出院即脱离专业管理，剩下的修复基本依靠个人自觉。面对漫长、枯燥且在过程中时有反复的康复阶段，相当一部分患者中途放弃，治疗未能进行到足以见效的时长，长期投入随之落空。这既加重了患者的身体与心理负担，也造成医疗资源的隐性损耗。</w:t>
            </w:r>
            <w:r>
              <w:rPr>
                <w:rFonts w:ascii="宋体" w:hAnsi="宋体" w:eastAsia="宋体" w:cs="宋体"/>
                <w:sz w:val="24"/>
              </w:rPr>
              <w:br w:type="textWrapping"/>
            </w:r>
            <w:r>
              <w:rPr>
                <w:rFonts w:ascii="宋体" w:hAnsi="宋体" w:eastAsia="宋体" w:cs="宋体"/>
                <w:sz w:val="24"/>
              </w:rPr>
              <w:t>与此同时，妇幼专科医院肩负的是女性全生命周期健康的责任，其服务本不应止于一次门诊或一段院内治疗。珠海市妇幼保健院作为区域性妇幼专科医院，长期承担妇科、生殖与产科相关的女性健康工作，具备从生殖功能修复、助孕到产科分娩的完整承接能力。当长期康复因缺乏院外延续而普遍做不完、出院即断成为制约女性生殖健康服务效果的关键环节时，由这样一家有全周期照护职责与完整承接能力的妇幼专科机构，探索将管理与治疗延伸到院外的连续服务模式，既是其职责所在，也具备现实的落地条件。</w:t>
            </w:r>
          </w:p>
        </w:tc>
      </w:tr>
      <w:tr w14:paraId="7DC9A4CF">
        <w:trPr>
          <w:trHeight w:val="3163" w:hRule="atLeast"/>
          <w:jc w:val="center"/>
        </w:trPr>
        <w:tc>
          <w:tcPr>
            <w:tcW w:w="1838" w:type="dxa"/>
            <w:vAlign w:val="center"/>
          </w:tcPr>
          <w:p w14:paraId="06BA568D">
            <w:pPr>
              <w:spacing w:line="540" w:lineRule="exact"/>
              <w:jc w:val="center"/>
              <w:rPr>
                <w:rFonts w:hint="eastAsia" w:eastAsia="仿宋"/>
                <w:b/>
                <w:bCs/>
                <w:sz w:val="24"/>
                <w:lang w:eastAsia="zh-CN"/>
              </w:rPr>
            </w:pPr>
            <w:r>
              <w:rPr>
                <w:rFonts w:hint="eastAsia" w:eastAsia="仿宋"/>
                <w:b/>
                <w:bCs/>
                <w:sz w:val="24"/>
                <w:lang w:eastAsia="zh-CN"/>
              </w:rPr>
              <w:t>实施内容</w:t>
            </w:r>
          </w:p>
        </w:tc>
        <w:tc>
          <w:tcPr>
            <w:tcW w:w="7128" w:type="dxa"/>
            <w:vAlign w:val="center"/>
          </w:tcPr>
          <w:p>
            <w:pPr>
              <w:spacing w:lineRule="exact" w:line="540" w:before="0" w:after="0"/>
              <w:jc w:val="both"/>
            </w:pPr>
            <w:r>
              <w:rPr>
                <w:rFonts w:ascii="宋体" w:hAnsi="宋体" w:eastAsia="宋体" w:cs="宋体"/>
                <w:sz w:val="24"/>
              </w:rPr>
              <w:t>本实践将健康管理与治疗从院内延伸至院外，形成院内评估开方、院外持续管理、按期复评调方的连续闭环，医院承担全部诊疗决策、质量安全监管与医学评估的责任主体。具体做法如下。</w:t>
            </w:r>
          </w:p>
          <w:p>
            <w:pPr>
              <w:spacing w:lineRule="exact" w:line="540" w:before="0" w:after="0"/>
              <w:jc w:val="both"/>
            </w:pPr>
            <w:r>
              <w:rPr>
                <w:rFonts w:ascii="宋体" w:hAnsi="宋体" w:eastAsia="宋体" w:cs="宋体"/>
                <w:sz w:val="24"/>
              </w:rPr>
              <w:t>一是院内规范化评估建档，制定个体化治疗方案。对因子宫内膜损伤、内膜偏薄等就诊的育龄女性，由本院专科门诊系统评估，明确个体化修复目标与疗程规划，制定可持续至院外的治疗方案，并建立覆盖评估、开方、治疗、复查、随访全过程、一人一档的健康档案。</w:t>
            </w:r>
          </w:p>
          <w:p>
            <w:pPr>
              <w:spacing w:lineRule="exact" w:line="540" w:before="0" w:after="0"/>
              <w:jc w:val="both"/>
            </w:pPr>
            <w:r>
              <w:rPr>
                <w:rFonts w:ascii="宋体" w:hAnsi="宋体" w:eastAsia="宋体" w:cs="宋体"/>
                <w:sz w:val="24"/>
              </w:rPr>
              <w:t>二是依托“六师共管”实施院外全周期连续管理。由医师、康复师、护士、客服、工程师、督导六类专业人员协同共管：医师、康复师、护士负责规范诊疗、评估复评与方案调整，保障“治得对、治得安全”；客服、工程师、督导负责跟进治疗执行、答疑疏导、设备保障与依从督导，让治疗“落到实处、坚持到底”，从机制上解决长期治疗“出院即断、难以坚持”的共性难题。</w:t>
            </w:r>
          </w:p>
          <w:p>
            <w:pPr>
              <w:spacing w:lineRule="exact" w:line="540" w:before="0" w:after="0"/>
              <w:jc w:val="both"/>
            </w:pPr>
            <w:r>
              <w:rPr>
                <w:rFonts w:ascii="宋体" w:hAnsi="宋体" w:eastAsia="宋体" w:cs="宋体"/>
                <w:sz w:val="24"/>
              </w:rPr>
              <w:t>三是建立“定期复评—动态调方”的多疗程闭环机制。患者按既定节点返院复评，医师依据实际康复进展动态调整下一阶段方案，形成“评估—治疗—复评—再调整”的循环，可多轮延续，直至修复达到既定目标，杜绝“离院即无人管、无下文”。</w:t>
            </w:r>
          </w:p>
          <w:p>
            <w:pPr>
              <w:spacing w:lineRule="exact" w:line="540" w:before="0" w:after="0"/>
              <w:jc w:val="both"/>
            </w:pPr>
            <w:r>
              <w:rPr>
                <w:rFonts w:ascii="宋体" w:hAnsi="宋体" w:eastAsia="宋体" w:cs="宋体"/>
                <w:sz w:val="24"/>
              </w:rPr>
              <w:t>四是实施主动回访，以连续管理保障患者长期坚持。健康管理专业人员对患者实施主动、持续随访与关怀：按期跟进治疗进度、依从情况并记录归档；当出现可能影响连续性的情形时，及时沟通疏导、耐心跟进，将患者稳定在规范治疗轨道上，避免中断或脱落，使需长期开展的治疗真正完成。</w:t>
            </w:r>
          </w:p>
          <w:p>
            <w:pPr>
              <w:spacing w:lineRule="exact" w:line="540" w:before="0" w:after="0"/>
              <w:jc w:val="both"/>
            </w:pPr>
            <w:r>
              <w:rPr>
                <w:rFonts w:ascii="宋体" w:hAnsi="宋体" w:eastAsia="宋体" w:cs="宋体"/>
                <w:sz w:val="24"/>
              </w:rPr>
              <w:t>在全流程闭环与六师共管作用下，患者跨数月按规范完成多疗程，全程依从良好，子宫内膜逐步增厚、复查达标，达到受孕所需基础条件。医院为患者建立完整、可追溯、覆盖全程的个体化健康档案。修复达标后，后续受孕等相关事宜由患者依据个人情况，在具备相应资质的机构继续完成。</w:t>
            </w:r>
          </w:p>
        </w:tc>
      </w:tr>
      <w:tr w14:paraId="14DBDB81">
        <w:trPr>
          <w:trHeight w:val="4197" w:hRule="atLeast"/>
          <w:jc w:val="center"/>
        </w:trPr>
        <w:tc>
          <w:tcPr>
            <w:tcW w:w="1838" w:type="dxa"/>
            <w:vAlign w:val="center"/>
          </w:tcPr>
          <w:p w14:paraId="024BDE94">
            <w:pPr>
              <w:spacing w:line="540" w:lineRule="exact"/>
              <w:jc w:val="center"/>
              <w:rPr>
                <w:rFonts w:hint="eastAsia" w:eastAsia="仿宋"/>
                <w:b/>
                <w:bCs/>
                <w:sz w:val="24"/>
                <w:lang w:eastAsia="zh-CN"/>
              </w:rPr>
            </w:pPr>
            <w:r>
              <w:rPr>
                <w:rFonts w:hint="eastAsia" w:eastAsia="仿宋"/>
                <w:b/>
                <w:bCs/>
                <w:sz w:val="24"/>
                <w:lang w:eastAsia="zh-CN"/>
              </w:rPr>
              <w:t>案例成果</w:t>
            </w:r>
          </w:p>
        </w:tc>
        <w:tc>
          <w:tcPr>
            <w:tcW w:w="7128" w:type="dxa"/>
            <w:vAlign w:val="center"/>
          </w:tcPr>
          <w:p w14:paraId="1A1D355D">
            <w:pPr>
              <w:spacing w:lineRule="exact" w:line="540" w:before="0" w:after="0"/>
              <w:rPr>
                <w:rFonts w:hint="eastAsia" w:ascii="仿宋" w:hAnsi="仿宋" w:eastAsia="仿宋" w:cs="仿宋"/>
                <w:sz w:val="24"/>
                <w:szCs w:val="24"/>
              </w:rPr>
            </w:pPr>
            <w:r>
              <w:rPr>
                <w:rFonts w:hint="eastAsia" w:ascii="宋体" w:hAnsi="宋体" w:eastAsia="宋体" w:cs="宋体"/>
                <w:sz w:val="24"/>
                <w:szCs w:val="24"/>
              </w:rPr>
              <w:t>一、真实案例成效。本机制在子宫内膜损伤修复上的直接成果，是一位患者的真实经历兑现成了现实：她因清宫手术损伤子宫内膜、内膜偏薄，原本难以满足受孕所需。经本院专科评估并制定个体化方案后，该患者把这段跨数月、多疗程的内膜养护坚持到了底，内膜逐步增厚、多次复查达标，重新具备受孕条件。子宫内膜在修复达标后，该患者按既定医疗流程，于常住地具备相应资质的机构接续完成受孕，足月分娩一名健康婴儿；这段曾因内膜损伤、进度难以推进而近乎中止的生育历程，得以在自身基础健康达标的前提下顺利完成。需要说明的是，这不等于宣称受孕或分娩由本院完成，而是如实呈现一套管理机制的真实成效：它把一段在常规模式下极易中途中断、难以坚持到底的长期养护疗程真正做完了。内膜养护到位在先，是患者能够进入后续生育环节所具备的前提条件。</w:t>
            </w:r>
            <w:r>
              <w:rPr>
                <w:rFonts w:hint="eastAsia" w:ascii="宋体" w:hAnsi="宋体" w:eastAsia="宋体" w:cs="宋体"/>
                <w:sz w:val="24"/>
                <w:szCs w:val="24"/>
              </w:rPr>
              <w:br w:type="textWrapping"/>
            </w:r>
            <w:r>
              <w:rPr>
                <w:rFonts w:hint="eastAsia" w:ascii="宋体" w:hAnsi="宋体" w:eastAsia="宋体" w:cs="宋体"/>
                <w:sz w:val="24"/>
                <w:szCs w:val="24"/>
              </w:rPr>
              <w:t>二、患者效益。常规模式下，患者常因疗程中断而难获预期疗效，时间与费用投入未能转化为修复成果。在持续管理机制下，疗程按计划推进直至完成，内膜等修复进度逐步累积并兑现为可判定的达标结果，患者得以在健康条件达标的基础上进入后续受孕等环节。</w:t>
            </w:r>
            <w:r>
              <w:rPr>
                <w:rFonts w:hint="eastAsia" w:ascii="宋体" w:hAnsi="宋体" w:eastAsia="宋体" w:cs="宋体"/>
                <w:sz w:val="24"/>
                <w:szCs w:val="24"/>
              </w:rPr>
              <w:br w:type="textWrapping"/>
            </w:r>
            <w:r>
              <w:rPr>
                <w:rFonts w:hint="eastAsia" w:ascii="宋体" w:hAnsi="宋体" w:eastAsia="宋体" w:cs="宋体"/>
                <w:sz w:val="24"/>
                <w:szCs w:val="24"/>
              </w:rPr>
              <w:t>三、医院效益。当专业管理延伸到院外并依托数据持续跟进，医院服务由单次的院内就诊，扩展为覆盖治疗全程、可追踪可复评的连续服务链条，医疗服务能力与服务持续性同步提升，医疗资源投入得以对应更完整的治疗进程。</w:t>
            </w:r>
            <w:r>
              <w:rPr>
                <w:rFonts w:hint="eastAsia" w:ascii="宋体" w:hAnsi="宋体" w:eastAsia="宋体" w:cs="宋体"/>
                <w:sz w:val="24"/>
                <w:szCs w:val="24"/>
              </w:rPr>
              <w:br w:type="textWrapping"/>
            </w:r>
            <w:r>
              <w:rPr>
                <w:rFonts w:hint="eastAsia" w:ascii="宋体" w:hAnsi="宋体" w:eastAsia="宋体" w:cs="宋体"/>
                <w:sz w:val="24"/>
                <w:szCs w:val="24"/>
              </w:rPr>
              <w:t>四、社会效益。将生殖健康问题在功能修复阶段予以解决，可减少因基础条件不足而上移到更昂贵、更复杂的助孕路径，降低生育健康与社会经济成本；更多患者在健康条件达标的基础上进入受孕与生育，有助于提升健康生育的可行性与保障水平。</w:t>
            </w:r>
            <w:r>
              <w:rPr>
                <w:rFonts w:hint="eastAsia" w:ascii="宋体" w:hAnsi="宋体" w:eastAsia="宋体" w:cs="宋体"/>
                <w:sz w:val="24"/>
                <w:szCs w:val="24"/>
              </w:rPr>
              <w:br w:type="textWrapping"/>
            </w:r>
            <w:r>
              <w:rPr>
                <w:rFonts w:hint="eastAsia" w:ascii="宋体" w:hAnsi="宋体" w:eastAsia="宋体" w:cs="宋体"/>
                <w:sz w:val="24"/>
                <w:szCs w:val="24"/>
              </w:rPr>
              <w:t>五、模式创新价值。本实践并非在原有院内康复基础上新增项目，而是调整妇幼健康服务的组织与交付方式，由以院内为边界、出院即中断，转向将专业管理由院内延伸至院外、覆盖治疗与康复全程。这一转变使依赖长期坚持的疗程更可能执行到底并取得结果，与常规做法形成对照，是可供妇幼专科机构借鉴的管理创新。</w:t>
            </w:r>
          </w:p>
        </w:tc>
      </w:tr>
      <w:tr w14:paraId="31C9D758">
        <w:trPr>
          <w:trHeight w:val="2379" w:hRule="atLeast"/>
          <w:jc w:val="center"/>
        </w:trPr>
        <w:tc>
          <w:tcPr>
            <w:tcW w:w="1838" w:type="dxa"/>
            <w:vAlign w:val="center"/>
          </w:tcPr>
          <w:p w14:paraId="215FA507">
            <w:pPr>
              <w:spacing w:line="500" w:lineRule="exact"/>
              <w:jc w:val="center"/>
              <w:rPr>
                <w:rFonts w:hint="eastAsia" w:ascii="仿宋_GB2312" w:eastAsia="仿宋_GB2312"/>
                <w:b/>
                <w:bCs/>
                <w:kern w:val="1"/>
                <w:sz w:val="28"/>
                <w:szCs w:val="28"/>
                <w:lang w:eastAsia="zh-CN"/>
              </w:rPr>
            </w:pPr>
            <w:r>
              <w:rPr>
                <w:rFonts w:hint="eastAsia" w:eastAsia="仿宋"/>
                <w:b/>
                <w:bCs/>
                <w:sz w:val="24"/>
                <w:lang w:eastAsia="zh-CN"/>
              </w:rPr>
              <w:t>其他支撑材料</w:t>
            </w:r>
          </w:p>
        </w:tc>
        <w:tc>
          <w:tcPr>
            <w:tcW w:w="7128" w:type="dxa"/>
            <w:vAlign w:val="center"/>
          </w:tcPr>
          <w:p w14:paraId="22E26373">
            <w:pPr>
              <w:keepNext w:val="0"/>
              <w:keepLines w:val="0"/>
              <w:pageBreakBefore w:val="0"/>
              <w:widowControl w:val="0"/>
              <w:kinsoku/>
              <w:wordWrap/>
              <w:overflowPunct/>
              <w:topLinePunct w:val="0"/>
              <w:autoSpaceDE/>
              <w:autoSpaceDN/>
              <w:bidi w:val="0"/>
              <w:adjustRightInd w:val="0"/>
              <w:snapToGrid w:val="0"/>
              <w:spacing w:line="320" w:lineRule="exact"/>
              <w:textAlignment w:val="auto"/>
              <w:rPr>
                <w:rFonts w:hint="eastAsia" w:eastAsia="仿宋"/>
                <w:sz w:val="24"/>
                <w:lang w:eastAsia="zh-CN"/>
              </w:rPr>
            </w:pPr>
            <w:r>
              <w:rPr>
                <w:rFonts w:hint="eastAsia" w:eastAsia="仿宋"/>
                <w:sz w:val="24"/>
                <w:lang w:eastAsia="zh-CN"/>
              </w:rPr>
              <w:t>（请列出与所申报案例有关的全部附件的序号和名称，包括但不限于复印件、照片、视频资料。请按此清单的顺序整理打包一起递交）</w:t>
            </w:r>
          </w:p>
          <w:p w14:paraId="37609149">
            <w:pPr>
              <w:keepNext w:val="0"/>
              <w:keepLines w:val="0"/>
              <w:pageBreakBefore w:val="0"/>
              <w:widowControl w:val="0"/>
              <w:kinsoku/>
              <w:wordWrap/>
              <w:overflowPunct/>
              <w:topLinePunct w:val="0"/>
              <w:autoSpaceDE/>
              <w:autoSpaceDN/>
              <w:bidi w:val="0"/>
              <w:adjustRightInd w:val="0"/>
              <w:snapToGrid w:val="0"/>
              <w:spacing w:line="320" w:lineRule="exact"/>
              <w:textAlignment w:val="auto"/>
              <w:rPr>
                <w:rFonts w:hint="eastAsia" w:eastAsia="仿宋"/>
                <w:sz w:val="24"/>
                <w:lang w:eastAsia="zh-CN"/>
              </w:rPr>
            </w:pPr>
            <w:r>
              <w:rPr>
                <w:rFonts w:hint="eastAsia" w:eastAsia="仿宋"/>
                <w:sz w:val="24"/>
                <w:lang w:eastAsia="zh-CN"/>
              </w:rPr>
              <w:t>注：案例视频要求：</w:t>
            </w:r>
            <w:r>
              <w:rPr>
                <w:rFonts w:hint="eastAsia" w:eastAsia="仿宋"/>
                <w:sz w:val="24"/>
                <w:lang w:val="en-US" w:eastAsia="zh-CN"/>
              </w:rPr>
              <w:t>1.</w:t>
            </w:r>
            <w:r>
              <w:rPr>
                <w:rFonts w:hint="eastAsia" w:eastAsia="仿宋"/>
                <w:sz w:val="24"/>
                <w:lang w:eastAsia="zh-CN"/>
              </w:rPr>
              <w:t>提交视频须为申报文字的视频版，内容与文字版高度相关，但非企业或产品的宣传视频（视为无效视频）；</w:t>
            </w:r>
            <w:r>
              <w:rPr>
                <w:rFonts w:hint="eastAsia" w:eastAsia="仿宋"/>
                <w:sz w:val="24"/>
                <w:lang w:val="en-US" w:eastAsia="zh-CN"/>
              </w:rPr>
              <w:t>2.</w:t>
            </w:r>
            <w:r>
              <w:rPr>
                <w:rFonts w:hint="eastAsia" w:eastAsia="仿宋"/>
                <w:sz w:val="24"/>
                <w:lang w:eastAsia="zh-CN"/>
              </w:rPr>
              <w:t>支持MP</w:t>
            </w:r>
            <w:r>
              <w:rPr>
                <w:rFonts w:hint="eastAsia" w:eastAsia="仿宋"/>
                <w:sz w:val="24"/>
                <w:lang w:val="en-US" w:eastAsia="zh-CN"/>
              </w:rPr>
              <w:t>4</w:t>
            </w:r>
            <w:r>
              <w:rPr>
                <w:rFonts w:hint="eastAsia" w:eastAsia="仿宋"/>
                <w:sz w:val="24"/>
                <w:lang w:eastAsia="zh-CN"/>
              </w:rPr>
              <w:t>或MOV视频格式，画面分辨率为1920x1080，视频大小在200M内，帧率为25/30fps；音量正常、清晰，无爆音、杂音。</w:t>
            </w:r>
          </w:p>
        </w:tc>
      </w:tr>
    </w:tbl>
    <w:p w14:paraId="4BFBF301">
      <w:pPr>
        <w:keepNext w:val="0"/>
        <w:keepLines w:val="0"/>
        <w:pageBreakBefore w:val="0"/>
        <w:widowControl w:val="0"/>
        <w:kinsoku/>
        <w:wordWrap/>
        <w:overflowPunct/>
        <w:topLinePunct w:val="0"/>
        <w:autoSpaceDE/>
        <w:autoSpaceDN/>
        <w:bidi w:val="0"/>
        <w:adjustRightInd/>
        <w:snapToGrid/>
        <w:spacing w:line="40" w:lineRule="exact"/>
        <w:textAlignment w:val="auto"/>
        <w:rPr>
          <w:rFonts w:ascii="仿宋_GB2312" w:eastAsia="仿宋_GB2312"/>
          <w:sz w:val="32"/>
          <w:szCs w:val="32"/>
        </w:rPr>
      </w:pPr>
    </w:p>
    <w:sectPr>
      <w:footerReference r:id="rId3" w:type="default"/>
      <w:pgSz w:w="11906" w:h="16838"/>
      <w:pgMar w:top="1985" w:right="1417" w:bottom="1417" w:left="1531" w:header="851" w:footer="90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22994694-0E7A-8ABA-C425-9A6ACBA222C6}"/>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方正教材规范楷体_GBK">
    <w:altName w:val="汉仪楷体简"/>
    <w:panose1 w:val="02000000000000000000"/>
    <w:charset w:val="86"/>
    <w:family w:val="auto"/>
    <w:pitch w:val="default"/>
    <w:sig w:usb0="00000000" w:usb1="00000000" w:usb2="00000016" w:usb3="00000000" w:csb0="00040000" w:csb1="00000000"/>
  </w:font>
  <w:font w:name="仿宋_GB2312">
    <w:panose1 w:val="02010609030101010101"/>
    <w:charset w:val="86"/>
    <w:family w:val="modern"/>
    <w:pitch w:val="default"/>
    <w:sig w:usb0="00000001" w:usb1="080E0000" w:usb2="00000000" w:usb3="00000000" w:csb0="00040000" w:csb1="00000000"/>
    <w:embedRegular r:id="rId2" w:fontKey="{BF732EDD-CF9D-8634-C525-9A6A6CDC9594}"/>
  </w:font>
  <w:font w:name="方正小标宋简体">
    <w:panose1 w:val="02000000000000000000"/>
    <w:charset w:val="86"/>
    <w:family w:val="auto"/>
    <w:pitch w:val="default"/>
    <w:sig w:usb0="00000001" w:usb1="08000000" w:usb2="00000000" w:usb3="00000000" w:csb0="00040000" w:csb1="00000000"/>
    <w:embedRegular r:id="rId3" w:fontKey="{00ADACD1-0D8B-ED4F-C525-9A6A2B758EF2}"/>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仿宋">
    <w:altName w:val="仿宋-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7717815"/>
      <w:docPartObj>
        <w:docPartGallery w:val="autotext"/>
      </w:docPartObj>
    </w:sdtPr>
    <w:sdtContent>
      <w:p w14:paraId="11CAB355">
        <w:pPr>
          <w:pStyle w:val="3"/>
          <w:jc w:val="center"/>
        </w:pPr>
        <w:r>
          <w:fldChar w:fldCharType="begin"/>
        </w:r>
        <w:r>
          <w:instrText xml:space="preserve">PAGE   \* MERGEFORMAT</w:instrText>
        </w:r>
        <w:r>
          <w:fldChar w:fldCharType="separate"/>
        </w:r>
        <w:r>
          <w:rPr>
            <w:lang w:val="zh-CN"/>
          </w:rPr>
          <w:t>2</w:t>
        </w:r>
        <w:r>
          <w:fldChar w:fldCharType="end"/>
        </w:r>
      </w:p>
    </w:sdtContent>
  </w:sdt>
  <w:p w14:paraId="034F68CA">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VlNDk5MzkyMDI4NTA1MmM0YjEzNjBkMGQwNjI4NjIifQ=="/>
  </w:docVars>
  <w:rsids>
    <w:rsidRoot w:val="00B9051A"/>
    <w:rsid w:val="0002793C"/>
    <w:rsid w:val="000811C9"/>
    <w:rsid w:val="000C090B"/>
    <w:rsid w:val="000E6B55"/>
    <w:rsid w:val="00181C10"/>
    <w:rsid w:val="002663CF"/>
    <w:rsid w:val="00457BE2"/>
    <w:rsid w:val="00640257"/>
    <w:rsid w:val="006B3BEB"/>
    <w:rsid w:val="00A231BF"/>
    <w:rsid w:val="00AF042F"/>
    <w:rsid w:val="00B07E41"/>
    <w:rsid w:val="00B9051A"/>
    <w:rsid w:val="00CC3901"/>
    <w:rsid w:val="00FA2798"/>
    <w:rsid w:val="101A191D"/>
    <w:rsid w:val="114D134F"/>
    <w:rsid w:val="15825292"/>
    <w:rsid w:val="1A2B27A0"/>
    <w:rsid w:val="1F63482F"/>
    <w:rsid w:val="27B45D83"/>
    <w:rsid w:val="2C291875"/>
    <w:rsid w:val="321732B4"/>
    <w:rsid w:val="3A2F7BB5"/>
    <w:rsid w:val="3FED2F74"/>
    <w:rsid w:val="44147B32"/>
    <w:rsid w:val="4E061402"/>
    <w:rsid w:val="4F6D2008"/>
    <w:rsid w:val="4F8015D8"/>
    <w:rsid w:val="512A4BB1"/>
    <w:rsid w:val="58E396E0"/>
    <w:rsid w:val="60FC596F"/>
    <w:rsid w:val="61383D00"/>
    <w:rsid w:val="65044952"/>
    <w:rsid w:val="6A7F6734"/>
    <w:rsid w:val="6F32597A"/>
    <w:rsid w:val="75BD5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semiHidden/>
    <w:unhideWhenUsed/>
    <w:qFormat/>
    <w:uiPriority w:val="99"/>
    <w:rPr>
      <w:color w:val="0000FF"/>
      <w:u w:val="single"/>
    </w:r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paragraph" w:customStyle="1" w:styleId="10">
    <w:name w:val="列表段落1"/>
    <w:basedOn w:val="1"/>
    <w:autoRedefine/>
    <w:qFormat/>
    <w:uiPriority w:val="0"/>
    <w:pPr>
      <w:tabs>
        <w:tab w:val="left" w:pos="1418"/>
      </w:tabs>
      <w:spacing w:line="520" w:lineRule="exact"/>
      <w:ind w:firstLine="634" w:firstLineChars="198"/>
    </w:pPr>
    <w:rPr>
      <w:rFonts w:ascii="方正教材规范楷体_GBK" w:hAnsi="方正教材规范楷体_GBK" w:eastAsia="方正教材规范楷体_GBK" w:cs="方正教材规范楷体_GBK"/>
      <w:sz w:val="32"/>
      <w:szCs w:val="32"/>
    </w:rPr>
  </w:style>
  <w:style w:type="character" w:customStyle="1" w:styleId="11">
    <w:name w:val="日期 字符"/>
    <w:basedOn w:val="6"/>
    <w:link w:val="2"/>
    <w:semiHidden/>
    <w:qFormat/>
    <w:uiPriority w:val="99"/>
  </w:style>
  <w:style w:type="paragraph" w:customStyle="1" w:styleId="12">
    <w:name w:val="普通(网站)1"/>
    <w:basedOn w:val="1"/>
    <w:autoRedefine/>
    <w:qFormat/>
    <w:uiPriority w:val="0"/>
    <w:rPr>
      <w:rFonts w:ascii="Times New Roman" w:hAnsi="Times New Roman" w:eastAsia="宋体" w:cs="Times New Roman"/>
      <w:color w:val="000000"/>
      <w:kern w:val="1"/>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266</Words>
  <Characters>275</Characters>
  <Lines>43</Lines>
  <Paragraphs>12</Paragraphs>
  <TotalTime>8</TotalTime>
  <ScaleCrop>false</ScaleCrop>
  <LinksUpToDate>false</LinksUpToDate>
  <CharactersWithSpaces>277</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2024-02-06T10:47:00Z</dcterms:created>
  <dc:creator>asd fas</dc:creator>
  <cp:lastModifiedBy>sandy</cp:lastModifiedBy>
  <cp:lastPrinted>2025-06-20T11:46:00Z</cp:lastPrinted>
  <dcterms:modified xsi:type="dcterms:W3CDTF">2026-09-04T09:58:28Z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C55D0003D4594D3DA9840C4A278E73B7_13</vt:lpwstr>
  </property>
  <property fmtid="{D5CDD505-2E9C-101B-9397-08002B2CF9AE}" pid="4" name="KSOTemplateDocerSaveRecord">
    <vt:lpwstr>eyJoZGlkIjoiNjAyYTBmNGNkYzgyNDdhOGRjOGFkNzAwYzVlN2U2MjkiLCJ1c2VySWQiOiIxNjA0MzUwMjYifQ==</vt:lpwstr>
  </property>
</Properties>
</file>