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70BE" w:rsidRDefault="00C22EDF">
      <w:pPr>
        <w:pStyle w:val="Heading1"/>
      </w:pPr>
      <w:bookmarkStart w:id="0" w:name="X930717a26eaba3feb9c51612aacae260e296731"/>
      <w:bookmarkStart w:id="1" w:name="_GoBack"/>
      <w:bookmarkEnd w:id="1"/>
      <w:r>
        <w:t>Analytical Methods for Nucleation, Growth, and Transformation</w:t>
      </w:r>
    </w:p>
    <w:p w:rsidR="00DA70BE" w:rsidRDefault="00C22EDF">
      <w:pPr>
        <w:pStyle w:val="FirstParagraph"/>
      </w:pPr>
      <w:r>
        <w:rPr>
          <w:i/>
          <w:iCs/>
        </w:rPr>
        <w:t>JMAK / Nakamura formulations with morphology coupling for FIRA-driven solidification</w:t>
      </w:r>
    </w:p>
    <w:p w:rsidR="00DA70BE" w:rsidRDefault="00C22EDF">
      <w:pPr>
        <w:pStyle w:val="Heading2"/>
      </w:pPr>
      <w:bookmarkStart w:id="2" w:name="overview-notation"/>
      <w:r>
        <w:t>1. Overview &amp; notation</w:t>
      </w:r>
    </w:p>
    <w:p w:rsidR="00DA70BE" w:rsidRDefault="00C22EDF">
      <w:pPr>
        <w:pStyle w:val="FirstParagraph"/>
      </w:pPr>
      <w:r>
        <w:rPr>
          <w:b/>
          <w:bCs/>
        </w:rPr>
        <w:t>Goal.</w:t>
      </w:r>
      <w:r>
        <w:t xml:space="preserve"> </w:t>
      </w:r>
      <w:r>
        <w:t>Provide closed-form analytical models for nucleation I(t), growth R(t), and transformed fraction X(t), including isothermal (JMAK), non-isothermal (Nakamura), and morphology-aware variants.</w:t>
      </w:r>
    </w:p>
    <w:p w:rsidR="00DA70BE" w:rsidRDefault="00C22EDF">
      <w:pPr>
        <w:pStyle w:val="BodyText"/>
      </w:pPr>
      <w:r>
        <w:rPr>
          <w:b/>
          <w:bCs/>
        </w:rPr>
        <w:t>Notation.</w:t>
      </w:r>
      <w:r>
        <w:t xml:space="preserve"> t: time (s; ms for plots). T(t): temperature (K). X(t)∈[</w:t>
      </w:r>
      <w:r>
        <w:t>0,1]: transformed fraction. I(t): nucleation intensity; N(t)=∫ I. R(t,τ): radius at time t of a nucleus created at τ. v or v(T): growth rate. k,n: JMAK parameters. K(T): Nakamura rate. C, D, Rough: circularity, defect fraction, roughness. β•, b•: morpholog</w:t>
      </w:r>
      <w:r>
        <w:t>y couplings.</w:t>
      </w:r>
    </w:p>
    <w:p w:rsidR="00DA70BE" w:rsidRDefault="00C22EDF">
      <w:pPr>
        <w:pStyle w:val="Heading2"/>
      </w:pPr>
      <w:bookmarkStart w:id="3" w:name="nucleation-laws-it-and-nt"/>
      <w:bookmarkEnd w:id="2"/>
      <w:r>
        <w:t>2. Nucleation laws I(t) and N(t)</w:t>
      </w:r>
    </w:p>
    <w:p w:rsidR="00DA70BE" w:rsidRDefault="00C22EDF">
      <w:pPr>
        <w:pStyle w:val="FirstParagraph"/>
      </w:pPr>
      <w:r>
        <w:rPr>
          <w:b/>
          <w:bCs/>
        </w:rPr>
        <w:t>Lognormal:</w:t>
      </w:r>
      <w:r>
        <w:t xml:space="preserve"> I_LN(t)=A/[tσ√(2π)]·exp(−(ln t−μ)</w:t>
      </w:r>
      <w:r>
        <w:rPr>
          <w:vertAlign w:val="superscript"/>
        </w:rPr>
        <w:t>2/(2σ</w:t>
      </w:r>
      <w:r>
        <w:t>2)), N_LN(t)=A·Φ((ln t−μ)/σ).</w:t>
      </w:r>
    </w:p>
    <w:p w:rsidR="00DA70BE" w:rsidRDefault="00C22EDF">
      <w:pPr>
        <w:pStyle w:val="BodyText"/>
      </w:pPr>
      <w:r>
        <w:rPr>
          <w:b/>
          <w:bCs/>
        </w:rPr>
        <w:t>Gamma:</w:t>
      </w:r>
      <w:r>
        <w:t xml:space="preserve"> I_Γ(t)=A·t</w:t>
      </w:r>
      <w:r>
        <w:rPr>
          <w:vertAlign w:val="superscript"/>
        </w:rPr>
        <w:t>{k−1}·e</w:t>
      </w:r>
      <w:r>
        <w:t>{−t/θ}/(Γ(k)θ^k), N_Γ(t)=A·γ(k,t/θ)/Γ(k).</w:t>
      </w:r>
    </w:p>
    <w:p w:rsidR="00DA70BE" w:rsidRDefault="00C22EDF">
      <w:pPr>
        <w:pStyle w:val="BodyText"/>
      </w:pPr>
      <w:r>
        <w:rPr>
          <w:b/>
          <w:bCs/>
        </w:rPr>
        <w:t>Site-saturated option:</w:t>
      </w:r>
      <w:r>
        <w:t xml:space="preserve"> impose I(t&gt;t_n)=0 and cap N at N(t_n).</w:t>
      </w:r>
    </w:p>
    <w:p w:rsidR="00DA70BE" w:rsidRDefault="00C22EDF">
      <w:pPr>
        <w:pStyle w:val="Heading2"/>
      </w:pPr>
      <w:bookmarkStart w:id="4" w:name="growth-law-rt"/>
      <w:bookmarkEnd w:id="3"/>
      <w:r>
        <w:t xml:space="preserve">3. </w:t>
      </w:r>
      <w:r>
        <w:t>Growth law R(t)</w:t>
      </w:r>
    </w:p>
    <w:p w:rsidR="00DA70BE" w:rsidRDefault="00C22EDF">
      <w:pPr>
        <w:pStyle w:val="FirstParagraph"/>
      </w:pPr>
      <w:r>
        <w:rPr>
          <w:b/>
          <w:bCs/>
        </w:rPr>
        <w:t>Constant growth after t_n:</w:t>
      </w:r>
      <w:r>
        <w:t xml:space="preserve"> R(t)=v·max(0,t−t_n).</w:t>
      </w:r>
    </w:p>
    <w:p w:rsidR="00DA70BE" w:rsidRDefault="00C22EDF">
      <w:pPr>
        <w:pStyle w:val="BodyText"/>
      </w:pPr>
      <w:r>
        <w:rPr>
          <w:b/>
          <w:bCs/>
        </w:rPr>
        <w:t>Temperature-dependent:</w:t>
      </w:r>
      <w:r>
        <w:t xml:space="preserve"> v(T)=v0·exp(−E_g/(R·T)).</w:t>
      </w:r>
    </w:p>
    <w:p w:rsidR="00DA70BE" w:rsidRDefault="00C22EDF">
      <w:pPr>
        <w:pStyle w:val="Heading2"/>
      </w:pPr>
      <w:bookmarkStart w:id="5" w:name="isothermal-jmak-avrami"/>
      <w:bookmarkEnd w:id="4"/>
      <w:r>
        <w:t>4. Isothermal JMAK (Avrami)</w:t>
      </w:r>
    </w:p>
    <w:p w:rsidR="00DA70BE" w:rsidRDefault="00C22EDF">
      <w:pPr>
        <w:pStyle w:val="FirstParagraph"/>
      </w:pPr>
      <w:r>
        <w:t>X_iso(t)=1−exp(−(k·t)^n). n encodes nucleation mode and growth dimensionality (≈2 for site-saturated 2D; ≈3 for cont</w:t>
      </w:r>
      <w:r>
        <w:t>inuous 2D).</w:t>
      </w:r>
    </w:p>
    <w:p w:rsidR="00DA70BE" w:rsidRDefault="00C22EDF">
      <w:pPr>
        <w:pStyle w:val="Heading2"/>
      </w:pPr>
      <w:bookmarkStart w:id="6" w:name="nakamura-non-isothermal-jmak"/>
      <w:bookmarkEnd w:id="5"/>
      <w:r>
        <w:t>5. Nakamura (non-isothermal JMAK)</w:t>
      </w:r>
    </w:p>
    <w:p w:rsidR="00DA70BE" w:rsidRDefault="00C22EDF">
      <w:pPr>
        <w:pStyle w:val="FirstParagraph"/>
      </w:pPr>
      <w:r>
        <w:t>X_Nak(t)=1−exp(−[τ(t)]^n), with τ(t)=∫_0^t K(T(t′))dt′, K(T)=K0·exp(−Ea/(R·T)). Fit (K0,Ea,n); τ(t) integrates measured T(t), capturing FIRA transients.</w:t>
      </w:r>
    </w:p>
    <w:p w:rsidR="00DA70BE" w:rsidRDefault="00C22EDF">
      <w:pPr>
        <w:pStyle w:val="Heading2"/>
      </w:pPr>
      <w:bookmarkStart w:id="7" w:name="morphology-aware-coupling"/>
      <w:bookmarkEnd w:id="6"/>
      <w:r>
        <w:t>6. Morphology-aware coupling</w:t>
      </w:r>
    </w:p>
    <w:p w:rsidR="00DA70BE" w:rsidRDefault="00C22EDF">
      <w:pPr>
        <w:pStyle w:val="FirstParagraph"/>
      </w:pPr>
      <w:r>
        <w:rPr>
          <w:b/>
          <w:bCs/>
        </w:rPr>
        <w:t>Effective fraction weighting</w:t>
      </w:r>
      <w:r>
        <w:rPr>
          <w:b/>
          <w:bCs/>
        </w:rPr>
        <w:t>:</w:t>
      </w:r>
      <w:r>
        <w:t xml:space="preserve"> w_i=exp(−β1(1−C_i)−β2·D_i−β3·Rough_i), X_eff=Σ w_iA_i / Σ A_i(t_final).</w:t>
      </w:r>
    </w:p>
    <w:p w:rsidR="00DA70BE" w:rsidRDefault="00C22EDF">
      <w:pPr>
        <w:pStyle w:val="BodyText"/>
      </w:pPr>
      <w:r>
        <w:rPr>
          <w:b/>
          <w:bCs/>
        </w:rPr>
        <w:lastRenderedPageBreak/>
        <w:t>Rate modulation (Nakamura):</w:t>
      </w:r>
      <w:r>
        <w:t xml:space="preserve"> K(T,t)=K0·exp(−Ea/(R·T))·exp(−b1(1−C̄)−b2·D̄−b3·Rough̄); X(t)=1−exp(−[∫K]^n).</w:t>
      </w:r>
    </w:p>
    <w:p w:rsidR="00DA70BE" w:rsidRDefault="00C22EDF">
      <w:pPr>
        <w:pStyle w:val="Heading2"/>
      </w:pPr>
      <w:bookmarkStart w:id="8" w:name="Xe65fca7e35b2b0519c5fa998a7ba4d66f8c886b"/>
      <w:bookmarkEnd w:id="7"/>
      <w:r>
        <w:t>7. Full nucleation–growth kernel (Kolmogorov/Avrami)</w:t>
      </w:r>
    </w:p>
    <w:p w:rsidR="00DA70BE" w:rsidRDefault="00C22EDF">
      <w:pPr>
        <w:pStyle w:val="FirstParagraph"/>
      </w:pPr>
      <w:r>
        <w:t>X(t)=1−exp(−Y(t)), Y(t)</w:t>
      </w:r>
      <w:r>
        <w:t>=∫_0^t I(τ)·π·R^2(t,τ)dτ, with R(t,τ)=v·max(0, t−max(τ,t_n)). Pick I(τ) from §2; evaluate Y with fast 1-D quadrature on a time grid.</w:t>
      </w:r>
    </w:p>
    <w:p w:rsidR="00DA70BE" w:rsidRDefault="00C22EDF">
      <w:pPr>
        <w:pStyle w:val="Heading2"/>
      </w:pPr>
      <w:bookmarkStart w:id="9" w:name="fitting-model-selection-uncertainty"/>
      <w:bookmarkEnd w:id="8"/>
      <w:r>
        <w:t>8. Fitting, model selection, uncertainty</w:t>
      </w:r>
    </w:p>
    <w:p w:rsidR="00DA70BE" w:rsidRDefault="00C22EDF">
      <w:pPr>
        <w:pStyle w:val="Compact"/>
        <w:numPr>
          <w:ilvl w:val="0"/>
          <w:numId w:val="2"/>
        </w:numPr>
      </w:pPr>
      <w:r>
        <w:rPr>
          <w:b/>
          <w:bCs/>
        </w:rPr>
        <w:t>Nucleation:</w:t>
      </w:r>
      <w:r>
        <w:t xml:space="preserve"> fit I(t) on 0–60 ms via MLE (unbinned times) or LS on binned dn/dt.</w:t>
      </w:r>
    </w:p>
    <w:p w:rsidR="00DA70BE" w:rsidRDefault="00C22EDF">
      <w:pPr>
        <w:pStyle w:val="Compact"/>
        <w:numPr>
          <w:ilvl w:val="0"/>
          <w:numId w:val="2"/>
        </w:numPr>
      </w:pPr>
      <w:r>
        <w:rPr>
          <w:b/>
          <w:bCs/>
        </w:rPr>
        <w:t>Tr</w:t>
      </w:r>
      <w:r>
        <w:rPr>
          <w:b/>
          <w:bCs/>
        </w:rPr>
        <w:t>ansformation:</w:t>
      </w:r>
      <w:r>
        <w:t xml:space="preserve"> fit JMAK (k,n) or Nakamura (K0,Ea,n) to X (or X_eff).</w:t>
      </w:r>
    </w:p>
    <w:p w:rsidR="00DA70BE" w:rsidRDefault="00C22EDF">
      <w:pPr>
        <w:pStyle w:val="Compact"/>
        <w:numPr>
          <w:ilvl w:val="0"/>
          <w:numId w:val="2"/>
        </w:numPr>
      </w:pPr>
      <w:r>
        <w:rPr>
          <w:b/>
          <w:bCs/>
        </w:rPr>
        <w:t>Model selection:</w:t>
      </w:r>
      <w:r>
        <w:t xml:space="preserve"> AIC=N·ln(RSS/N)+2k; BIC=N·ln(RSS/N)+k·lnN.</w:t>
      </w:r>
    </w:p>
    <w:p w:rsidR="00DA70BE" w:rsidRDefault="00C22EDF">
      <w:pPr>
        <w:pStyle w:val="Compact"/>
        <w:numPr>
          <w:ilvl w:val="0"/>
          <w:numId w:val="2"/>
        </w:numPr>
      </w:pPr>
      <w:r>
        <w:rPr>
          <w:b/>
          <w:bCs/>
        </w:rPr>
        <w:t>Uncertainty:</w:t>
      </w:r>
      <w:r>
        <w:t xml:space="preserve"> bootstrap residuals (X) and unbinned event times (I) to form confidence bands.</w:t>
      </w:r>
    </w:p>
    <w:p w:rsidR="00DA70BE" w:rsidRDefault="00C22EDF">
      <w:pPr>
        <w:pStyle w:val="Heading2"/>
      </w:pPr>
      <w:bookmarkStart w:id="10" w:name="workflow-step-by-step"/>
      <w:bookmarkEnd w:id="9"/>
      <w:r>
        <w:t>9. Workflow (step-by-step)</w:t>
      </w:r>
    </w:p>
    <w:p w:rsidR="00DA70BE" w:rsidRDefault="00C22EDF">
      <w:pPr>
        <w:numPr>
          <w:ilvl w:val="0"/>
          <w:numId w:val="3"/>
        </w:numPr>
      </w:pPr>
      <w:r>
        <w:t>Build a 1-ms grid over 0–600 ms (use seconds for Arrhenius terms).</w:t>
      </w:r>
    </w:p>
    <w:p w:rsidR="00DA70BE" w:rsidRDefault="00C22EDF">
      <w:pPr>
        <w:numPr>
          <w:ilvl w:val="0"/>
          <w:numId w:val="3"/>
        </w:numPr>
      </w:pPr>
      <w:r>
        <w:t>Compute X(t); optionally compute X_eff(t) with morphology weights.</w:t>
      </w:r>
    </w:p>
    <w:p w:rsidR="00DA70BE" w:rsidRDefault="00C22EDF">
      <w:pPr>
        <w:numPr>
          <w:ilvl w:val="0"/>
          <w:numId w:val="3"/>
        </w:numPr>
      </w:pPr>
      <w:r>
        <w:t>Fit I(t) (lognormal or gamma) on 0–60 ms → analytical I(t), N(t).</w:t>
      </w:r>
    </w:p>
    <w:p w:rsidR="00DA70BE" w:rsidRDefault="00C22EDF">
      <w:pPr>
        <w:numPr>
          <w:ilvl w:val="0"/>
          <w:numId w:val="3"/>
        </w:numPr>
      </w:pPr>
      <w:r>
        <w:t>Estimate v or v(T) from radius-vs-time on 60–600 ms.</w:t>
      </w:r>
    </w:p>
    <w:p w:rsidR="00DA70BE" w:rsidRDefault="00C22EDF">
      <w:pPr>
        <w:numPr>
          <w:ilvl w:val="0"/>
          <w:numId w:val="3"/>
        </w:numPr>
      </w:pPr>
      <w:r>
        <w:t>Fit</w:t>
      </w:r>
      <w:r>
        <w:t xml:space="preserve"> JMAK (k,n) or Nakamura (K0,Ea,n); or kernel model with fitted I and R.</w:t>
      </w:r>
    </w:p>
    <w:p w:rsidR="00DA70BE" w:rsidRDefault="00C22EDF">
      <w:pPr>
        <w:numPr>
          <w:ilvl w:val="0"/>
          <w:numId w:val="3"/>
        </w:numPr>
      </w:pPr>
      <w:r>
        <w:t>Add morphology (weighting or rate-modulation), refit if used.</w:t>
      </w:r>
    </w:p>
    <w:p w:rsidR="00DA70BE" w:rsidRDefault="00C22EDF">
      <w:pPr>
        <w:numPr>
          <w:ilvl w:val="0"/>
          <w:numId w:val="3"/>
        </w:numPr>
      </w:pPr>
      <w:r>
        <w:t>Compare AIC/BIC; export 1-ms grids of I(t), N(t), X(t); add bootstrap bands.</w:t>
      </w:r>
    </w:p>
    <w:p w:rsidR="00DA70BE" w:rsidRDefault="00C22EDF">
      <w:pPr>
        <w:pStyle w:val="Heading2"/>
      </w:pPr>
      <w:bookmarkStart w:id="11" w:name="ready-to-use-formulas-copypaste"/>
      <w:bookmarkEnd w:id="10"/>
      <w:r>
        <w:t>10. Ready-to-use formulas (copy/paste)</w:t>
      </w:r>
    </w:p>
    <w:p w:rsidR="00DA70BE" w:rsidRDefault="00C22EDF">
      <w:pPr>
        <w:pStyle w:val="Compact"/>
        <w:numPr>
          <w:ilvl w:val="0"/>
          <w:numId w:val="4"/>
        </w:numPr>
      </w:pPr>
      <w:r>
        <w:rPr>
          <w:b/>
          <w:bCs/>
        </w:rPr>
        <w:t>Lognor</w:t>
      </w:r>
      <w:r>
        <w:rPr>
          <w:b/>
          <w:bCs/>
        </w:rPr>
        <w:t>mal:</w:t>
      </w:r>
      <w:r>
        <w:t xml:space="preserve"> I_LN=A/(tσ√(2π))·exp(−(ln t−μ)</w:t>
      </w:r>
      <w:r>
        <w:rPr>
          <w:vertAlign w:val="superscript"/>
        </w:rPr>
        <w:t>2/(2σ</w:t>
      </w:r>
      <w:r>
        <w:t>2)); N_LN=A·Φ((ln t−μ)/σ).</w:t>
      </w:r>
    </w:p>
    <w:p w:rsidR="00DA70BE" w:rsidRDefault="00C22EDF">
      <w:pPr>
        <w:pStyle w:val="Compact"/>
        <w:numPr>
          <w:ilvl w:val="0"/>
          <w:numId w:val="4"/>
        </w:numPr>
      </w:pPr>
      <w:r>
        <w:rPr>
          <w:b/>
          <w:bCs/>
        </w:rPr>
        <w:t>Gamma:</w:t>
      </w:r>
      <w:r>
        <w:t xml:space="preserve"> I_Γ=A·t</w:t>
      </w:r>
      <w:r>
        <w:rPr>
          <w:vertAlign w:val="superscript"/>
        </w:rPr>
        <w:t>{k−1}e</w:t>
      </w:r>
      <w:r>
        <w:t>{−t/θ}/(Γ(k)θ^k); N_Γ=A·γ(k,t/θ)/Γ(k).</w:t>
      </w:r>
    </w:p>
    <w:p w:rsidR="00DA70BE" w:rsidRDefault="00C22EDF">
      <w:pPr>
        <w:pStyle w:val="Compact"/>
        <w:numPr>
          <w:ilvl w:val="0"/>
          <w:numId w:val="4"/>
        </w:numPr>
      </w:pPr>
      <w:r>
        <w:rPr>
          <w:b/>
          <w:bCs/>
        </w:rPr>
        <w:t>Growth:</w:t>
      </w:r>
      <w:r>
        <w:t xml:space="preserve"> R(t)=v·max(0,t−t_n); </w:t>
      </w:r>
      <w:r>
        <w:rPr>
          <w:b/>
          <w:bCs/>
        </w:rPr>
        <w:t>JMAK:</w:t>
      </w:r>
      <w:r>
        <w:t xml:space="preserve"> X=1−exp(−(k t)^n).</w:t>
      </w:r>
    </w:p>
    <w:p w:rsidR="00DA70BE" w:rsidRDefault="00C22EDF">
      <w:pPr>
        <w:pStyle w:val="Compact"/>
        <w:numPr>
          <w:ilvl w:val="0"/>
          <w:numId w:val="4"/>
        </w:numPr>
      </w:pPr>
      <w:r>
        <w:rPr>
          <w:b/>
          <w:bCs/>
        </w:rPr>
        <w:t>Nakamura:</w:t>
      </w:r>
      <w:r>
        <w:t xml:space="preserve"> X=1−exp(−[∫_0^t K0·e^{−Ea/(RT(τ))} dτ]^n).</w:t>
      </w:r>
    </w:p>
    <w:p w:rsidR="00DA70BE" w:rsidRDefault="00C22EDF">
      <w:pPr>
        <w:pStyle w:val="Compact"/>
        <w:numPr>
          <w:ilvl w:val="0"/>
          <w:numId w:val="4"/>
        </w:numPr>
      </w:pPr>
      <w:r>
        <w:rPr>
          <w:b/>
          <w:bCs/>
        </w:rPr>
        <w:t>Kernel:</w:t>
      </w:r>
      <w:r>
        <w:t xml:space="preserve"> </w:t>
      </w:r>
      <w:r>
        <w:t>X=1−exp(−∫ I(τ)·π·R^2(t,τ)dτ), R=v·max(0,t−max(τ,t_n)).</w:t>
      </w:r>
    </w:p>
    <w:p w:rsidR="00DA70BE" w:rsidRDefault="00C22EDF">
      <w:pPr>
        <w:pStyle w:val="Heading2"/>
      </w:pPr>
      <w:bookmarkStart w:id="12" w:name="implementation-notes"/>
      <w:bookmarkEnd w:id="11"/>
      <w:r>
        <w:t>11. Implementation notes</w:t>
      </w:r>
    </w:p>
    <w:p w:rsidR="00DA70BE" w:rsidRDefault="00C22EDF">
      <w:pPr>
        <w:pStyle w:val="FirstParagraph"/>
      </w:pPr>
      <w:r>
        <w:t>Use Kelvin for T and seconds for Arrhenius terms (ms is fine for visuals). Clip X to (10</w:t>
      </w:r>
      <w:r>
        <w:rPr>
          <w:vertAlign w:val="superscript"/>
        </w:rPr>
        <w:t>{-6},1−10</w:t>
      </w:r>
      <w:r>
        <w:t>{-6}). Report per-sample and pooled fits. With strong thermal transients, Naka</w:t>
      </w:r>
      <w:r>
        <w:t>mura typically outperforms isothermal JMAK on AIC/BIC.</w:t>
      </w:r>
    </w:p>
    <w:p w:rsidR="00DA70BE" w:rsidRDefault="00C22EDF">
      <w:pPr>
        <w:pStyle w:val="Heading2"/>
      </w:pPr>
      <w:bookmarkStart w:id="13" w:name="parameter-interpretation"/>
      <w:bookmarkEnd w:id="12"/>
      <w:r>
        <w:lastRenderedPageBreak/>
        <w:t>12. Parameter interpretation</w:t>
      </w:r>
    </w:p>
    <w:p w:rsidR="00DA70BE" w:rsidRDefault="00C22EDF">
      <w:pPr>
        <w:pStyle w:val="FirstParagraph"/>
      </w:pPr>
      <w:r>
        <w:rPr>
          <w:b/>
          <w:bCs/>
        </w:rPr>
        <w:t>Avrami n:</w:t>
      </w:r>
      <w:r>
        <w:t xml:space="preserve"> nucleation mode + growth dimensionality (~2 site-saturated 2D; ~3 continuous 2D). </w:t>
      </w:r>
      <w:r>
        <w:rPr>
          <w:b/>
          <w:bCs/>
        </w:rPr>
        <w:t>Arrhenius K0,Ea:</w:t>
      </w:r>
      <w:r>
        <w:t xml:space="preserve"> temperature sensitivity; higher Ea ⇒ stronger T-dependence. </w:t>
      </w:r>
      <w:r>
        <w:rPr>
          <w:b/>
          <w:bCs/>
        </w:rPr>
        <w:t>Mor</w:t>
      </w:r>
      <w:r>
        <w:rPr>
          <w:b/>
          <w:bCs/>
        </w:rPr>
        <w:t>phology couplings β•/b•:</w:t>
      </w:r>
      <w:r>
        <w:t xml:space="preserve"> penalize low circularity, high defect fraction, high roughness—slowing effective transformation.</w:t>
      </w:r>
    </w:p>
    <w:bookmarkEnd w:id="13"/>
    <w:bookmarkEnd w:id="0"/>
    <w:sectPr w:rsidR="00DA70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881869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1A39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4BE4BC4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BE"/>
    <w:rsid w:val="00C22EDF"/>
    <w:rsid w:val="00DA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B925D1B2-457A-4354-B221-7D11E6817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Sandy Sanchez Alonso</dc:creator>
  <cp:keywords/>
  <cp:lastModifiedBy>Sandy Sanchez Alonso</cp:lastModifiedBy>
  <cp:revision>2</cp:revision>
  <dcterms:created xsi:type="dcterms:W3CDTF">2025-11-06T16:33:00Z</dcterms:created>
  <dcterms:modified xsi:type="dcterms:W3CDTF">2025-11-06T16:33:00Z</dcterms:modified>
</cp:coreProperties>
</file>