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ans" w:hAnsi="Liberation Sans"/>
          <w:b/>
          <w:color w:val="1F4E79"/>
          <w:sz w:val="56"/>
        </w:rPr>
        <w:t>CaseStudy Tech</w:t>
      </w:r>
    </w:p>
    <w:p>
      <w:pPr>
        <w:spacing w:after="520"/>
        <w:jc w:val="center"/>
      </w:pPr>
      <w:r>
        <w:rPr>
          <w:rFonts w:ascii="Liberation Sans" w:hAnsi="Liberation Sans"/>
          <w:b/>
          <w:color w:val="232323"/>
          <w:sz w:val="40"/>
        </w:rPr>
        <w:t>Software Design Document (SDD)</w:t>
      </w:r>
    </w:p>
    <w:p>
      <w:pPr>
        <w:jc w:val="center"/>
      </w:pPr>
      <w:r>
        <w:rPr>
          <w:rFonts w:ascii="Liberation Sans" w:hAnsi="Liberation Sans"/>
          <w:color w:val="1F4E79"/>
          <w:sz w:val="24"/>
        </w:rPr>
        <w:t>CSCI 5520 - AI-Driven Software Development</w:t>
      </w:r>
    </w:p>
    <w:tbl>
      <w:tblPr>
        <w:tblW w:type="auto" w:w="0"/>
        <w:jc w:val="center"/>
        <w:tblLayout w:type="fixed"/>
        <w:tblLook w:firstColumn="1" w:firstRow="1" w:lastColumn="0" w:lastRow="0" w:noHBand="0" w:noVBand="1" w:val="04A0"/>
      </w:tblPr>
      <w:tblGrid>
        <w:gridCol w:w="2520"/>
        <w:gridCol w:w="6336"/>
      </w:tblGrid>
      <w:tr>
        <w:tc>
          <w:tcPr>
            <w:tcW w:type="dxa" w:w="4896"/>
            <w:shd w:fill="EAF2F8"/>
            <w:tcMar>
              <w:top w:w="100" w:type="dxa"/>
              <w:start w:w="140" w:type="dxa"/>
              <w:bottom w:w="100" w:type="dxa"/>
              <w:end w:w="140" w:type="dxa"/>
            </w:tcMar>
            <w:vAlign w:val="center"/>
          </w:tcPr>
          <w:p>
            <w:pPr>
              <w:spacing w:after="0"/>
            </w:pPr>
            <w:r>
              <w:rPr>
                <w:b/>
                <w:color w:val="1F4E79"/>
                <w:sz w:val="19"/>
              </w:rPr>
              <w:t>Student Name</w:t>
            </w:r>
          </w:p>
        </w:tc>
        <w:tc>
          <w:tcPr>
            <w:tcW w:type="dxa" w:w="4896"/>
            <w:tcMar>
              <w:top w:w="100" w:type="dxa"/>
              <w:start w:w="140" w:type="dxa"/>
              <w:bottom w:w="100" w:type="dxa"/>
              <w:end w:w="140" w:type="dxa"/>
            </w:tcMar>
            <w:vAlign w:val="center"/>
          </w:tcPr>
          <w:p>
            <w:pPr>
              <w:spacing w:after="0"/>
            </w:pPr>
            <w:r>
              <w:rPr>
                <w:i/>
                <w:color w:val="707070"/>
                <w:sz w:val="19"/>
              </w:rPr>
              <w:t>[Firstname Lastname]</w:t>
            </w:r>
          </w:p>
        </w:tc>
      </w:tr>
      <w:tr>
        <w:tc>
          <w:tcPr>
            <w:tcW w:type="dxa" w:w="4896"/>
            <w:shd w:fill="EAF2F8"/>
            <w:tcMar>
              <w:top w:w="100" w:type="dxa"/>
              <w:start w:w="140" w:type="dxa"/>
              <w:bottom w:w="100" w:type="dxa"/>
              <w:end w:w="140" w:type="dxa"/>
            </w:tcMar>
            <w:vAlign w:val="center"/>
          </w:tcPr>
          <w:p>
            <w:pPr>
              <w:spacing w:after="0"/>
            </w:pPr>
            <w:r>
              <w:rPr>
                <w:b/>
                <w:color w:val="1F4E79"/>
                <w:sz w:val="19"/>
              </w:rPr>
              <w:t>Date</w:t>
            </w:r>
          </w:p>
        </w:tc>
        <w:tc>
          <w:tcPr>
            <w:tcW w:type="dxa" w:w="4896"/>
            <w:tcMar>
              <w:top w:w="100" w:type="dxa"/>
              <w:start w:w="140" w:type="dxa"/>
              <w:bottom w:w="100" w:type="dxa"/>
              <w:end w:w="140" w:type="dxa"/>
            </w:tcMar>
            <w:vAlign w:val="center"/>
          </w:tcPr>
          <w:p>
            <w:pPr>
              <w:spacing w:after="0"/>
            </w:pPr>
            <w:r>
              <w:rPr>
                <w:i/>
                <w:color w:val="707070"/>
                <w:sz w:val="19"/>
              </w:rPr>
              <w:t>[Month Day, Year]</w:t>
            </w:r>
          </w:p>
        </w:tc>
      </w:tr>
      <w:tr>
        <w:tc>
          <w:tcPr>
            <w:tcW w:type="dxa" w:w="4896"/>
            <w:shd w:fill="EAF2F8"/>
            <w:tcMar>
              <w:top w:w="100" w:type="dxa"/>
              <w:start w:w="140" w:type="dxa"/>
              <w:bottom w:w="100" w:type="dxa"/>
              <w:end w:w="140" w:type="dxa"/>
            </w:tcMar>
            <w:vAlign w:val="center"/>
          </w:tcPr>
          <w:p>
            <w:pPr>
              <w:spacing w:after="0"/>
            </w:pPr>
            <w:r>
              <w:rPr>
                <w:b/>
                <w:color w:val="1F4E79"/>
                <w:sz w:val="19"/>
              </w:rPr>
              <w:t>Document Version</w:t>
            </w:r>
          </w:p>
        </w:tc>
        <w:tc>
          <w:tcPr>
            <w:tcW w:type="dxa" w:w="4896"/>
            <w:tcMar>
              <w:top w:w="100" w:type="dxa"/>
              <w:start w:w="140" w:type="dxa"/>
              <w:bottom w:w="100" w:type="dxa"/>
              <w:end w:w="140" w:type="dxa"/>
            </w:tcMar>
            <w:vAlign w:val="center"/>
          </w:tcPr>
          <w:p>
            <w:pPr>
              <w:spacing w:after="0"/>
            </w:pPr>
            <w:r>
              <w:rPr>
                <w:i/>
                <w:color w:val="707070"/>
                <w:sz w:val="19"/>
              </w:rPr>
              <w:t>[v0.1]</w:t>
            </w:r>
          </w:p>
        </w:tc>
      </w:tr>
      <w:tr>
        <w:tc>
          <w:tcPr>
            <w:tcW w:type="dxa" w:w="4896"/>
            <w:shd w:fill="EAF2F8"/>
            <w:tcMar>
              <w:top w:w="100" w:type="dxa"/>
              <w:start w:w="140" w:type="dxa"/>
              <w:bottom w:w="100" w:type="dxa"/>
              <w:end w:w="140" w:type="dxa"/>
            </w:tcMar>
            <w:vAlign w:val="center"/>
          </w:tcPr>
          <w:p>
            <w:pPr>
              <w:spacing w:after="0"/>
            </w:pPr>
            <w:r>
              <w:rPr>
                <w:b/>
                <w:color w:val="1F4E79"/>
                <w:sz w:val="19"/>
              </w:rPr>
              <w:t>Project Repository / URL (if available)</w:t>
            </w:r>
          </w:p>
        </w:tc>
        <w:tc>
          <w:tcPr>
            <w:tcW w:type="dxa" w:w="4896"/>
            <w:tcMar>
              <w:top w:w="100" w:type="dxa"/>
              <w:start w:w="140" w:type="dxa"/>
              <w:bottom w:w="100" w:type="dxa"/>
              <w:end w:w="140" w:type="dxa"/>
            </w:tcMar>
            <w:vAlign w:val="center"/>
          </w:tcPr>
          <w:p>
            <w:pPr>
              <w:spacing w:after="0"/>
            </w:pPr>
            <w:r>
              <w:rPr>
                <w:i/>
                <w:color w:val="707070"/>
                <w:sz w:val="19"/>
              </w:rPr>
              <w:t>[URL or N/A]</w:t>
            </w:r>
          </w:p>
        </w:tc>
      </w:tr>
    </w:tbl>
    <w:p>
      <w:pPr>
        <w:spacing w:before="560"/>
        <w:jc w:val="center"/>
      </w:pPr>
      <w:r>
        <w:rPr>
          <w:rFonts w:ascii="Liberation Sans" w:hAnsi="Liberation Sans"/>
          <w:i/>
          <w:color w:val="707070"/>
          <w:sz w:val="19"/>
        </w:rPr>
        <w:t>Template: Delete all gray instructional/example text before submitting.</w:t>
      </w:r>
    </w:p>
    <w:p>
      <w:pPr>
        <w:pageBreakBefore/>
      </w:pPr>
    </w:p>
    <w:p>
      <w:pPr>
        <w:pStyle w:val="Heading1"/>
      </w:pPr>
      <w:r>
        <w:t>How to Use This Template</w:t>
      </w:r>
    </w:p>
    <w:p>
      <w:pPr>
        <w:pStyle w:val="TemplateInstruction"/>
        <w:spacing w:after="80"/>
      </w:pPr>
      <w:r>
        <w:t>Delete all gray prompts, examples, and placeholder text before submitting your final document. Write your responses in normal black text immediately below the instructional material for each section.</w:t>
      </w:r>
    </w:p>
    <w:p>
      <w:pPr>
        <w:pStyle w:val="TemplateInstruction"/>
        <w:spacing w:after="80"/>
      </w:pPr>
      <w:r>
        <w:t>Write for two audiences: (1) a human developer/reviewer and (2) a future AI development agent. Be explicit enough that important requirements, constraints, and design decisions do not have to be guessed later. This document will become a primary source for later implementation planning, GitHub Issues, persistent project documentation, and agentic development work.</w:t>
      </w:r>
    </w:p>
    <w:p>
      <w:pPr>
        <w:pStyle w:val="TemplateInstruction"/>
        <w:spacing w:after="80"/>
      </w:pPr>
      <w:r>
        <w:t>Keep the document concise but complete. The goal is not to produce a large requirements specification; it is to create a clear, coherent design artifact that captures the problem, intended behavior, major constraints, architecture, and user experience well enough to guide later implementation.</w:t>
      </w:r>
    </w:p>
    <w:p>
      <w:pPr>
        <w:pStyle w:val="Heading1"/>
      </w:pPr>
      <w:r>
        <w:t>1 Problem &amp; Users</w:t>
      </w:r>
    </w:p>
    <w:p>
      <w:pPr>
        <w:pStyle w:val="Heading2"/>
      </w:pPr>
      <w:r>
        <w:t>1.1 Problem Description</w:t>
      </w:r>
    </w:p>
    <w:p>
      <w:pPr>
        <w:pStyle w:val="Normal"/>
      </w:pPr>
      <w:r>
        <w:t>Counseling and clinical psychology students often begin client-facing case work with limited opportunities to rehearse difficult conversations in a safe, repeatable setting. Classroom discussion and written case studies teach concepts, but they do not consistently give students experience responding in real time to varied personalities, presenting problems, and emotionally sensitive situations. This gap can leave students uneasy and underprepared before working with actual people.</w:t>
      </w:r>
    </w:p>
    <w:p>
      <w:pPr>
        <w:pStyle w:val="Normal"/>
      </w:pPr>
      <w:r>
        <w:t>Students may also lack timely, specific, and consistent feedback on their performance. Without clear evidence of what they handled well and what they should improve, they can struggle to evaluate skills such as active listening, questioning, empathy, and adherence to professional frameworks. Training programs must expose students to varied cases while protecting privacy and following discipline-specific ethical and safety expectations.</w:t>
      </w:r>
    </w:p>
    <w:p>
      <w:pPr>
        <w:pStyle w:val="Heading2"/>
      </w:pPr>
      <w:r>
        <w:t>1.2 Target Users &amp; Stakeholders</w:t>
      </w:r>
    </w:p>
    <w:p>
      <w:pPr>
        <w:pStyle w:val="Normal"/>
      </w:pPr>
      <w:r>
        <w:rPr>
          <w:b/>
        </w:rPr>
        <w:t xml:space="preserve">Primary user - Counseling and clinical psychology students: </w:t>
      </w:r>
      <w:r>
        <w:t>Students are the first users for the CaseStudy Tech (CST) MVP. They need a private, low-stakes way to practice client conversations, experience a range of vetted scenarios, and understand how their performance aligns with published counseling frameworks before working with real clients.</w:t>
      </w:r>
    </w:p>
    <w:p>
      <w:pPr>
        <w:pStyle w:val="Normal"/>
      </w:pPr>
      <w:r>
        <w:rPr>
          <w:b/>
        </w:rPr>
        <w:t xml:space="preserve">Future end user - Instructors and clinical supervisors: </w:t>
      </w:r>
      <w:r>
        <w:t>In a later phase, instructors will assign scenarios and review individual or cohort progress. They need trustworthy, explainable scoring and scenarios that align with course objectives and professional standards.</w:t>
      </w:r>
    </w:p>
    <w:p>
      <w:pPr>
        <w:pStyle w:val="Normal"/>
      </w:pPr>
      <w:r>
        <w:rPr>
          <w:b/>
        </w:rPr>
        <w:t xml:space="preserve">Stakeholder - University counseling and psychology programs: </w:t>
      </w:r>
      <w:r>
        <w:t>Programs are prospective institutional purchasers and approvers. They care about student readiness, curricular fit, consistent assessment, safe scenario design, accessibility, and evidence that the system supports their learning goals.</w:t>
      </w:r>
    </w:p>
    <w:p>
      <w:pPr>
        <w:pStyle w:val="Normal"/>
      </w:pPr>
      <w:r>
        <w:rPr>
          <w:b/>
        </w:rPr>
        <w:t xml:space="preserve">Stakeholder - University technology, privacy, accessibility, and compliance reviewers: </w:t>
      </w:r>
      <w:r>
        <w:t>These reviewers influence adoption because the system may process sensitive voice and text during a session. They need verifiable retention, security, accessibility, and vendor data-use terms, including the requirement that third parties do not retain session data or use it for training.</w:t>
      </w:r>
    </w:p>
    <w:p>
      <w:pPr>
        <w:pStyle w:val="Normal"/>
      </w:pPr>
      <w:r>
        <w:rPr>
          <w:b/>
        </w:rPr>
        <w:t xml:space="preserve">Stakeholder - Professional and accrediting organizations: </w:t>
      </w:r>
      <w:r>
        <w:t>Their published ethics codes, counseling skill frameworks, and accreditation expectations influence the scenarios, guardrails, and scoring criteria that programs will consider acceptable.</w:t>
      </w:r>
    </w:p>
    <w:p>
      <w:pPr>
        <w:pStyle w:val="Heading1"/>
      </w:pPr>
      <w:r>
        <w:t>2 Proposed Solution &amp; Scope</w:t>
      </w:r>
    </w:p>
    <w:p>
      <w:pPr>
        <w:pStyle w:val="Heading2"/>
      </w:pPr>
      <w:r>
        <w:t>2.1 Proposed Solution</w:t>
      </w:r>
    </w:p>
    <w:p>
      <w:pPr>
        <w:pStyle w:val="Normal"/>
      </w:pPr>
      <w:r>
        <w:t>CaseStudy Tech is a voice-first practice application that lets counseling and clinical psychology students rehearse structured client conversations before working with real people. A student signs in, selects one of three vetted scenarios, reviews the learning objective and any content notice, and completes a time-bounded conversation by voice or text. The simulated client follows a predefined persona and case so that the experience remains consistent enough for meaningful feedback.</w:t>
      </w:r>
    </w:p>
    <w:p>
      <w:pPr>
        <w:pStyle w:val="Normal"/>
      </w:pPr>
      <w:r>
        <w:t>After the student ends the session or the time limit expires, the system analyzes the completed transcript and produces a developmental report. The report contains an overall score, six category scores, transcript-grounded examples, strengths, and recommended improvements. The categories cover empathic engagement; active listening and responding; purposeful questioning and exploration; collaboration, autonomy, and cultural humility; session structure and professionalism; and scenario-specific competence. The report supports practice and reflection, but it does not diagnose a client, certify clinical competence, replace supervision, or provide a clinical decision.</w:t>
      </w:r>
    </w:p>
    <w:p>
      <w:pPr>
        <w:pStyle w:val="Normal"/>
      </w:pPr>
      <w:r>
        <w:t>This approach addresses the practice gap by combining repeatable role-play with evidence-based feedback in a private, low-stakes setting. Students can encounter routine, resistant, and safety-sensitive situations while programs gain a foundation that could support instructor and cohort features in a later phase.</w:t>
      </w:r>
    </w:p>
    <w:p>
      <w:pPr>
        <w:pStyle w:val="Heading2"/>
      </w:pPr>
      <w:r>
        <w:t>2.2 Minimum Viable Product (MVP) Scope</w:t>
      </w:r>
    </w:p>
    <w:p>
      <w:pPr>
        <w:pStyle w:val="Normal"/>
      </w:pPr>
      <w:r>
        <w:t>The MVP is the smallest complete version that allows a student to conduct a simulated session and receive trustworthy, evidence-linked feedback. It includes the following capabilities.</w:t>
      </w:r>
    </w:p>
    <w:p>
      <w:pPr>
        <w:pStyle w:val="Normal"/>
        <w:keepLines/>
        <w:ind w:left="360" w:hanging="180"/>
      </w:pPr>
      <w:r>
        <w:t xml:space="preserve">• </w:t>
      </w:r>
      <w:r>
        <w:rPr>
          <w:b/>
        </w:rPr>
        <w:t xml:space="preserve">Student access and cross-platform delivery: </w:t>
      </w:r>
      <w:r>
        <w:t>A student can sign in and use the React Native application through supported web, iOS, and Android builds.</w:t>
      </w:r>
    </w:p>
    <w:p>
      <w:pPr>
        <w:pStyle w:val="Normal"/>
        <w:keepLines/>
        <w:ind w:left="360" w:hanging="180"/>
      </w:pPr>
      <w:r>
        <w:t xml:space="preserve">• </w:t>
      </w:r>
      <w:r>
        <w:rPr>
          <w:b/>
        </w:rPr>
        <w:t xml:space="preserve">Three-scenario library: </w:t>
      </w:r>
      <w:r>
        <w:t>The application includes a routine intake, a conversation with an emotionally resistant client, and an opt-in crisis-risk scenario. Students cannot create or modify personas in the MVP.</w:t>
      </w:r>
    </w:p>
    <w:p>
      <w:pPr>
        <w:pStyle w:val="Normal"/>
        <w:keepLines/>
        <w:ind w:left="360" w:hanging="180"/>
      </w:pPr>
      <w:r>
        <w:t xml:space="preserve">• </w:t>
      </w:r>
      <w:r>
        <w:rPr>
          <w:b/>
        </w:rPr>
        <w:t xml:space="preserve">Session preparation: </w:t>
      </w:r>
      <w:r>
        <w:t>Before a session begins, the student sees the scenario objective, expected session format, time limit, and any applicable content notice. Crisis content appears only after the student deliberately selects that scenario.</w:t>
      </w:r>
    </w:p>
    <w:p>
      <w:pPr>
        <w:pStyle w:val="Normal"/>
        <w:keepLines/>
        <w:ind w:left="360" w:hanging="180"/>
      </w:pPr>
      <w:r>
        <w:t xml:space="preserve">• </w:t>
      </w:r>
      <w:r>
        <w:rPr>
          <w:b/>
        </w:rPr>
        <w:t xml:space="preserve">Voice-first simulation with text fallback: </w:t>
      </w:r>
      <w:r>
        <w:t>The student conducts a responsive conversation with the simulated client by voice or text, can end the session manually, and receives an automatic end when the time limit is reached. If voice or transcription fails, the application offers a retry or a switch to text.</w:t>
      </w:r>
    </w:p>
    <w:p>
      <w:pPr>
        <w:pStyle w:val="Normal"/>
        <w:keepLines/>
        <w:ind w:left="360" w:hanging="180"/>
      </w:pPr>
      <w:r>
        <w:t xml:space="preserve">• </w:t>
      </w:r>
      <w:r>
        <w:rPr>
          <w:b/>
        </w:rPr>
        <w:t xml:space="preserve">Safety and conduct controls: </w:t>
      </w:r>
      <w:r>
        <w:t>A simulated disclosure of self-harm, abuse, or imminent danger does not end the crisis scenario because the student must be able to demonstrate an appropriate response. Targeted threats, slurs, sexual harassment, or repeated demeaning language from the student automatically end the session without a performance score. Safeguards distinguish directed abuse from quoted case material, nondirected frustration, and uncertain speech recognition.</w:t>
      </w:r>
    </w:p>
    <w:p>
      <w:pPr>
        <w:pStyle w:val="Normal"/>
        <w:keepLines/>
        <w:ind w:left="360" w:hanging="180"/>
      </w:pPr>
      <w:r>
        <w:t xml:space="preserve">• </w:t>
      </w:r>
      <w:r>
        <w:rPr>
          <w:b/>
        </w:rPr>
        <w:t xml:space="preserve">Post-session scoring: </w:t>
      </w:r>
      <w:r>
        <w:t>Only a completed session is scored. The overall score is a weighted combination of empathic engagement (20 percent), active listening and responding (20 percent), purposeful questioning and exploration (15 percent), collaboration, autonomy, and cultural humility (15 percent), session structure and professionalism (10 percent), and scenario-specific competence (20 percent). Each category uses a 1-to-5 developmental rating.</w:t>
      </w:r>
    </w:p>
    <w:p>
      <w:pPr>
        <w:pStyle w:val="Normal"/>
        <w:keepLines/>
        <w:ind w:left="360" w:hanging="180"/>
      </w:pPr>
      <w:r>
        <w:t xml:space="preserve">• </w:t>
      </w:r>
      <w:r>
        <w:rPr>
          <w:b/>
        </w:rPr>
        <w:t xml:space="preserve">Evidence-based feedback: </w:t>
      </w:r>
      <w:r>
        <w:t>The report identifies strengths and improvements with examples grounded in the session transcript. For the resistant-client scenario, feedback applies selected motivational interviewing principles without presenting the result as an official MITI score. For the crisis scenario, a critical safety failure overrides the numerical average and is reported as a safety requirement not demonstrated.</w:t>
      </w:r>
    </w:p>
    <w:p>
      <w:pPr>
        <w:pStyle w:val="Normal"/>
        <w:keepLines/>
        <w:ind w:left="360" w:hanging="180"/>
      </w:pPr>
      <w:r>
        <w:t xml:space="preserve">• </w:t>
      </w:r>
      <w:r>
        <w:rPr>
          <w:b/>
        </w:rPr>
        <w:t xml:space="preserve">Failure handling: </w:t>
      </w:r>
      <w:r>
        <w:t>The application does not generate or save a partial score when audio capture, transcription, the simulated client, or the grading process fails. It explains the problem and offers a safe retry path instead of fabricating missing feedback.</w:t>
      </w:r>
    </w:p>
    <w:p>
      <w:pPr>
        <w:pStyle w:val="Normal"/>
        <w:keepLines/>
        <w:ind w:left="360" w:hanging="180"/>
      </w:pPr>
      <w:r>
        <w:t xml:space="preserve">• </w:t>
      </w:r>
      <w:r>
        <w:rPr>
          <w:b/>
        </w:rPr>
        <w:t xml:space="preserve">Limited retention and local export: </w:t>
      </w:r>
      <w:r>
        <w:t>The completed feedback report is displayed immediately and may be exported to the student's device. The server retains only the overall and category scores. Audio, transcripts, excerpts, and narrative feedback are deleted after report generation and are not available for replay.</w:t>
      </w:r>
    </w:p>
    <w:p>
      <w:pPr>
        <w:pStyle w:val="Normal"/>
        <w:keepLines/>
        <w:ind w:left="360" w:hanging="180"/>
      </w:pPr>
      <w:r>
        <w:t xml:space="preserve">• </w:t>
      </w:r>
      <w:r>
        <w:rPr>
          <w:b/>
        </w:rPr>
        <w:t xml:space="preserve">Required supporting services: </w:t>
      </w:r>
      <w:r>
        <w:t>The MVP includes basic authentication, secure score storage, speech processing, a hosted language model for the simulated client, and a separate grading pass. Any third-party AI or speech service must operate under terms that prohibit retention of session data and its use for model training.</w:t>
      </w:r>
    </w:p>
    <w:p>
      <w:pPr>
        <w:pStyle w:val="Heading2"/>
      </w:pPr>
      <w:r>
        <w:t>2.3 Out of Scope / Non-Goals</w:t>
      </w:r>
    </w:p>
    <w:p>
      <w:pPr>
        <w:pStyle w:val="Normal"/>
      </w:pPr>
      <w:r>
        <w:t>The following capabilities are intentionally excluded from the MVP so that the six-week, solo-development effort remains focused on the student practice loop.</w:t>
      </w:r>
    </w:p>
    <w:p>
      <w:pPr>
        <w:pStyle w:val="Normal"/>
        <w:keepLines/>
        <w:ind w:left="360" w:hanging="180"/>
      </w:pPr>
      <w:r>
        <w:t xml:space="preserve">• </w:t>
      </w:r>
      <w:r>
        <w:rPr>
          <w:b/>
        </w:rPr>
        <w:t xml:space="preserve">Instructor and institutional tools: </w:t>
      </w:r>
      <w:r>
        <w:t>No instructor dashboard, scenario assignment, cohort management, progress analytics, supervisor review workflow, or administrative reporting.</w:t>
      </w:r>
    </w:p>
    <w:p>
      <w:pPr>
        <w:pStyle w:val="Normal"/>
        <w:keepLines/>
        <w:ind w:left="360" w:hanging="180"/>
      </w:pPr>
      <w:r>
        <w:t xml:space="preserve">• </w:t>
      </w:r>
      <w:r>
        <w:rPr>
          <w:b/>
        </w:rPr>
        <w:t xml:space="preserve">Content authoring and customization: </w:t>
      </w:r>
      <w:r>
        <w:t>No student-created personas, custom scenarios, instructor-defined rubrics, custom score weights, or expanded scenario marketplace.</w:t>
      </w:r>
    </w:p>
    <w:p>
      <w:pPr>
        <w:pStyle w:val="Normal"/>
        <w:keepLines/>
        <w:ind w:left="360" w:hanging="180"/>
      </w:pPr>
      <w:r>
        <w:t xml:space="preserve">• </w:t>
      </w:r>
      <w:r>
        <w:rPr>
          <w:b/>
        </w:rPr>
        <w:t xml:space="preserve">Live intervention: </w:t>
      </w:r>
      <w:r>
        <w:t>No live coaching, hints, corrections, visible real-time scoring, or instructor participation during a session.</w:t>
      </w:r>
    </w:p>
    <w:p>
      <w:pPr>
        <w:pStyle w:val="Normal"/>
        <w:keepLines/>
        <w:ind w:left="360" w:hanging="180"/>
      </w:pPr>
      <w:r>
        <w:t xml:space="preserve">• </w:t>
      </w:r>
      <w:r>
        <w:rPr>
          <w:b/>
        </w:rPr>
        <w:t xml:space="preserve">Persistent session records: </w:t>
      </w:r>
      <w:r>
        <w:t>No server-side storage or replay of audio, full transcripts, transcript excerpts, or narrative feedback reports.</w:t>
      </w:r>
    </w:p>
    <w:p>
      <w:pPr>
        <w:pStyle w:val="Normal"/>
        <w:keepLines/>
        <w:ind w:left="360" w:hanging="180"/>
      </w:pPr>
      <w:r>
        <w:t xml:space="preserve">• </w:t>
      </w:r>
      <w:r>
        <w:rPr>
          <w:b/>
        </w:rPr>
        <w:t xml:space="preserve">Model development and hosting: </w:t>
      </w:r>
      <w:r>
        <w:t>No model fine-tuning, training on student sessions, custom foundation model, or self-hosted speech or language model infrastructure.</w:t>
      </w:r>
    </w:p>
    <w:p>
      <w:pPr>
        <w:pStyle w:val="Normal"/>
        <w:keepLines/>
        <w:ind w:left="360" w:hanging="180"/>
      </w:pPr>
      <w:r>
        <w:t xml:space="preserve">• </w:t>
      </w:r>
      <w:r>
        <w:rPr>
          <w:b/>
        </w:rPr>
        <w:t xml:space="preserve">Clinical and emergency use: </w:t>
      </w:r>
      <w:r>
        <w:t>The product does not serve real clients, diagnose conditions, recommend treatment, conduct a validated suicide-risk assessment, contact emergency services, certify readiness for practice, or replace a licensed instructor or clinical supervisor.</w:t>
      </w:r>
    </w:p>
    <w:p>
      <w:pPr>
        <w:pStyle w:val="Normal"/>
        <w:keepLines/>
        <w:ind w:left="360" w:hanging="180"/>
      </w:pPr>
      <w:r>
        <w:t xml:space="preserve">• </w:t>
      </w:r>
      <w:r>
        <w:rPr>
          <w:b/>
        </w:rPr>
        <w:t xml:space="preserve">Enterprise and commercial features: </w:t>
      </w:r>
      <w:r>
        <w:t>No institutional single sign-on, learning-management-system integration, electronic health record integration, billing, subscriptions, payment processing, or purchasing workflow.</w:t>
      </w:r>
    </w:p>
    <w:p>
      <w:pPr>
        <w:pStyle w:val="Normal"/>
        <w:keepLines/>
        <w:ind w:left="360" w:hanging="180"/>
      </w:pPr>
      <w:r>
        <w:t xml:space="preserve">• </w:t>
      </w:r>
      <w:r>
        <w:rPr>
          <w:b/>
        </w:rPr>
        <w:t xml:space="preserve">Additional disciplines and localization: </w:t>
      </w:r>
      <w:r>
        <w:t>No initial scenario libraries for social work or other behavioral science disciplines, multilingual content, or jurisdiction-specific clinical and legal guidance beyond the counseling and clinical psychology MVP focus.</w:t>
      </w:r>
    </w:p>
    <w:p>
      <w:pPr>
        <w:pStyle w:val="Heading1"/>
      </w:pPr>
      <w:r>
        <w:t>3 User Stories &amp; Acceptance Criteria</w:t>
      </w:r>
    </w:p>
    <w:p>
      <w:pPr>
        <w:pStyle w:val="TemplateInstruction"/>
        <w:spacing w:after="80"/>
      </w:pPr>
      <w:r>
        <w:t>User stories define what different users need to accomplish and why. Acceptance criteria define what must be observably true for a story to be considered complete. These are especially important in this course because they will later become direct inputs to the Implementation Plan, GitHub Issues, testing expectations, and AI-agent work.</w:t>
      </w:r>
    </w:p>
    <w:p>
      <w:pPr>
        <w:pStyle w:val="TemplateInstruction"/>
        <w:spacing w:after="80"/>
      </w:pPr>
      <w:r>
        <w:t>Use a stable identifier for each story (US-01, US-02, ...). Group stories by user role or logical capability when helpful. Keep stories outcome-focused: describe WHAT the user must be able to do, not HOW the feature will be implemented.</w:t>
      </w:r>
    </w:p>
    <w:p>
      <w:pPr>
        <w:pStyle w:val="TemplateInstruction"/>
        <w:spacing w:after="80"/>
      </w:pPr>
      <w:r>
        <w:t>Required format for each story:</w:t>
      </w:r>
    </w:p>
    <w:p>
      <w:pPr>
        <w:pStyle w:val="TemplateBullet"/>
      </w:pPr>
      <w:r>
        <w:t>• ID and short name: US-01 - [Short descriptive name]</w:t>
      </w:r>
    </w:p>
    <w:p>
      <w:pPr>
        <w:pStyle w:val="TemplateBullet"/>
      </w:pPr>
      <w:r>
        <w:t>• User Story: As a [user role], I can [action/capability] so that [value/reason].</w:t>
      </w:r>
    </w:p>
    <w:p>
      <w:pPr>
        <w:pStyle w:val="TemplateBullet"/>
      </w:pPr>
      <w:r>
        <w:t>• Pass/Fail Check: A concise, externally observable condition that determines whether the story works. Use measurable limits when they genuinely matter (for example, response time, supported file type, permission boundary, etc.).</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user story (delete before submitting):</w:t>
            </w:r>
          </w:p>
          <w:p>
            <w:pPr>
              <w:spacing w:after="40"/>
            </w:pPr>
            <w:r>
              <w:rPr>
                <w:i/>
                <w:color w:val="707070"/>
                <w:sz w:val="19"/>
              </w:rPr>
              <w:t>US-01 - View Upcoming Events</w:t>
            </w:r>
          </w:p>
          <w:p>
            <w:pPr>
              <w:spacing w:after="40"/>
            </w:pPr>
            <w:r>
              <w:rPr>
                <w:i/>
                <w:color w:val="707070"/>
                <w:sz w:val="19"/>
              </w:rPr>
              <w:t>User Story: As a student, I can view a list of upcoming campus events so that I can decide which events I want to attend.</w:t>
            </w:r>
          </w:p>
          <w:p>
            <w:pPr>
              <w:spacing w:after="40"/>
            </w:pPr>
            <w:r>
              <w:rPr>
                <w:i/>
                <w:color w:val="707070"/>
                <w:sz w:val="19"/>
              </w:rPr>
              <w:t>Pass/Fail Check: Pass if the events view displays future events with at least a title and date; fail if no future events are shown or only past events appear.</w:t>
            </w:r>
          </w:p>
        </w:tc>
      </w:tr>
    </w:tbl>
    <w:p>
      <w:pPr>
        <w:spacing w:after="20"/>
      </w:pPr>
    </w:p>
    <w:p>
      <w:pPr>
        <w:pStyle w:val="Heading2"/>
      </w:pPr>
      <w:r>
        <w:t>3.1 [User Role / Feature Group]</w:t>
      </w:r>
    </w:p>
    <w:p>
      <w:pPr>
        <w:pStyle w:val="TemplatePlaceholder"/>
      </w:pPr>
      <w:r>
        <w:t>US-01 - [Short Name]</w:t>
        <w:br/>
        <w:t>User Story: As a [role], I can [action] so that [value].</w:t>
        <w:br/>
        <w:t>Pass/Fail Check: [Observable pass/fail condition.]</w:t>
      </w:r>
    </w:p>
    <w:p>
      <w:pPr>
        <w:pStyle w:val="TemplatePlaceholder"/>
      </w:pPr>
      <w:r>
        <w:t>US-02 - [Short Name]</w:t>
        <w:br/>
        <w:t>User Story: As a [role], I can [action] so that [value].</w:t>
        <w:br/>
        <w:t>Pass/Fail Check: [Observable pass/fail condition.]</w:t>
      </w:r>
    </w:p>
    <w:p>
      <w:pPr>
        <w:pStyle w:val="TemplateInstruction"/>
        <w:spacing w:after="80"/>
      </w:pPr>
      <w:r>
        <w:t>Duplicate or add additional user-role subsections and user-story blocks as needed. Include enough stories to capture the major behavior required for your MVP; do not inflate the list with trivial UI details.</w:t>
      </w:r>
    </w:p>
    <w:p>
      <w:pPr>
        <w:pStyle w:val="Heading1"/>
      </w:pPr>
      <w:r>
        <w:t>4 Requirements, Constraints &amp; Design Rules</w:t>
      </w:r>
    </w:p>
    <w:p>
      <w:pPr>
        <w:pStyle w:val="TemplateInstruction"/>
        <w:spacing w:after="80"/>
      </w:pPr>
      <w:r>
        <w:t>Document important project rules that are NOT already captured cleanly by user stories. These may include non-functional requirements, platform limitations, security/privacy rules, accessibility expectations, domain policies, legal/compliance constraints, data-handling rules, required/prohibited technologies, or other decisions that future implementers must consistently respect.</w:t>
      </w:r>
    </w:p>
    <w:p>
      <w:pPr>
        <w:pStyle w:val="TemplateInstruction"/>
        <w:spacing w:after="80"/>
      </w:pPr>
      <w:r>
        <w:t>Use stable identifiers (RC-01, RC-02, ...) when practical. Only include constraints that meaningfully affect the design or implementation; do not invent arbitrary requirements just to make the section longer.</w:t>
      </w:r>
    </w:p>
    <w:p>
      <w:pPr>
        <w:pStyle w:val="TemplateBullet"/>
      </w:pPr>
      <w:r>
        <w:t>• Security &amp; Privacy: authentication, authorization, secrets, personally identifiable information, data sharing, logging, etc.</w:t>
      </w:r>
    </w:p>
    <w:p>
      <w:pPr>
        <w:pStyle w:val="TemplateBullet"/>
      </w:pPr>
      <w:r>
        <w:t>• Performance &amp; Reliability: responsiveness, availability, offline expectations, failure handling, or other measurable quality needs.</w:t>
      </w:r>
    </w:p>
    <w:p>
      <w:pPr>
        <w:pStyle w:val="TemplateBullet"/>
      </w:pPr>
      <w:r>
        <w:t>• Accessibility &amp; User Experience: accessibility standards, device/input requirements, language/terminology rules, or user-safety expectations.</w:t>
      </w:r>
    </w:p>
    <w:p>
      <w:pPr>
        <w:pStyle w:val="TemplateBullet"/>
      </w:pPr>
      <w:r>
        <w:t>• Platform &amp; Compatibility: required operating systems, browsers, device classes, deployment environments, APIs, or interoperability requirements.</w:t>
      </w:r>
    </w:p>
    <w:p>
      <w:pPr>
        <w:pStyle w:val="TemplateBullet"/>
      </w:pPr>
      <w:r>
        <w:t>• Domain / Legal / Organizational Rules: policies, regulations, workflows, approval rules, retention requirements, or business logic that cannot be violated.</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RC-01 - Authorization: Only administrator users may create, edit, or delete organization-wide configuration.</w:t>
            </w:r>
          </w:p>
          <w:p>
            <w:pPr>
              <w:spacing w:after="40"/>
            </w:pPr>
            <w:r>
              <w:rPr>
                <w:i/>
                <w:color w:val="707070"/>
                <w:sz w:val="19"/>
              </w:rPr>
              <w:t>RC-02 - Destructive Actions: Any action that permanently deletes user data must require explicit confirmation.</w:t>
            </w:r>
          </w:p>
          <w:p>
            <w:pPr>
              <w:spacing w:after="40"/>
            </w:pPr>
            <w:r>
              <w:rPr>
                <w:i/>
                <w:color w:val="707070"/>
                <w:sz w:val="19"/>
              </w:rPr>
              <w:t>RC-03 - Terminology: User-facing interfaces must use domain language and should not expose internal database or implementation terminology.</w:t>
            </w:r>
          </w:p>
        </w:tc>
      </w:tr>
    </w:tbl>
    <w:p>
      <w:pPr>
        <w:spacing w:after="20"/>
      </w:pPr>
    </w:p>
    <w:p>
      <w:pPr>
        <w:pStyle w:val="TemplatePlaceholder"/>
      </w:pPr>
      <w:r>
        <w:t>[List and explain your project requirements, constraints, and design rules here.]</w:t>
      </w:r>
    </w:p>
    <w:p>
      <w:pPr>
        <w:pStyle w:val="Heading1"/>
      </w:pPr>
      <w:r>
        <w:t>5 Platform &amp; Architecture</w:t>
      </w:r>
    </w:p>
    <w:p>
      <w:pPr>
        <w:pStyle w:val="Heading2"/>
      </w:pPr>
      <w:r>
        <w:t>5.1 System Components &amp; Technology Choices</w:t>
      </w:r>
    </w:p>
    <w:p>
      <w:pPr>
        <w:pStyle w:val="TemplateInstruction"/>
        <w:spacing w:after="80"/>
      </w:pPr>
      <w:r>
        <w:t>Describe the major parts of your proposed system at a level that a non-specialist can follow (for example: user interface/client, server-side logic, data storage, authentication, external APIs/services, local AI model, message queue, file storage, etc.). Your project may not use all of these components, and modern/serverless architectures do not need to fit a traditional client-server model.</w:t>
      </w:r>
    </w:p>
    <w:p>
      <w:pPr>
        <w:pStyle w:val="TemplateInstruction"/>
        <w:spacing w:after="80"/>
      </w:pPr>
      <w:r>
        <w:t>Then document the important technologies/platforms you currently expect to use. For each technology, provide the following:</w:t>
      </w:r>
    </w:p>
    <w:p>
      <w:pPr>
        <w:pStyle w:val="TemplateBullet"/>
      </w:pPr>
      <w:r>
        <w:t>• Name: The technology/platform/service.</w:t>
      </w:r>
    </w:p>
    <w:p>
      <w:pPr>
        <w:pStyle w:val="TemplateBullet"/>
      </w:pPr>
      <w:r>
        <w:t>• Rationale: Why it is a reasonable choice for this project.</w:t>
      </w:r>
    </w:p>
    <w:p>
      <w:pPr>
        <w:pStyle w:val="TemplateBullet"/>
      </w:pPr>
      <w:r>
        <w:t>• Usage: The role it will fulfill in the system.</w:t>
      </w:r>
    </w:p>
    <w:p>
      <w:pPr>
        <w:pStyle w:val="TemplateBullet"/>
      </w:pPr>
      <w:r>
        <w:t>• Residency: Where it runs or is hosted (local machine, user device, cloud provider, third-party SaaS, etc.).</w:t>
      </w:r>
    </w:p>
    <w:p>
      <w:pPr>
        <w:pStyle w:val="TemplateInstruction"/>
        <w:spacing w:after="80"/>
      </w:pPr>
      <w:r>
        <w:t>These choices may evolve later. If a technology decision is still unresolved, document the leading option(s) and list the unresolved decision in Section 7 instead of pretending the choice is final.</w:t>
      </w:r>
    </w:p>
    <w:p>
      <w:pPr>
        <w:pStyle w:val="TemplatePlaceholder"/>
      </w:pPr>
      <w:r>
        <w:t>[Describe the major system components and technology choices here.]</w:t>
      </w:r>
    </w:p>
    <w:p>
      <w:pPr>
        <w:pStyle w:val="Heading2"/>
      </w:pPr>
      <w:r>
        <w:t>5.2 Architecture Diagram &amp; Explanation</w:t>
      </w:r>
    </w:p>
    <w:p>
      <w:pPr>
        <w:pStyle w:val="TemplateInstruction"/>
        <w:spacing w:after="80"/>
      </w:pPr>
      <w:r>
        <w:t>Create a clean digital architecture diagram showing the major system components/services and the important communication or data flows between them. Include external systems and APIs that materially affect the design. Label connections when the meaning is not obvious (for example: HTTPS API request, database event, file upload, push notification, local model call, etc.).</w:t>
      </w:r>
    </w:p>
    <w:p>
      <w:pPr>
        <w:pStyle w:val="TemplateInstruction"/>
        <w:spacing w:after="80"/>
      </w:pPr>
      <w:r>
        <w:t>The diagram should explain the architecture, not merely decorate the document. Avoid meaningless “boxes and arrows.” Group related services when useful and make it clear which pieces run locally, on user devices, in your own cloud environment, or in third-party systems.</w:t>
      </w:r>
    </w:p>
    <w:p>
      <w:pPr>
        <w:pStyle w:val="TemplateInstruction"/>
        <w:spacing w:after="80"/>
      </w:pPr>
      <w:r>
        <w:t>Above or below the diagram, provide a concise explanation of the architecture and identify any important design decisions or dependencies visible in the diagram.</w:t>
      </w:r>
    </w:p>
    <w:p>
      <w:pPr>
        <w:pStyle w:val="TemplatePlaceholder"/>
      </w:pPr>
      <w:r>
        <w:t>[Insert architecture explanation here.]</w:t>
      </w:r>
    </w:p>
    <w:p>
      <w:pPr>
        <w:pStyle w:val="TemplatePlaceholder"/>
      </w:pPr>
      <w:r>
        <w:t>[INSERT ARCHITECTURE DIAGRAM HERE]</w:t>
      </w:r>
    </w:p>
    <w:p>
      <w:pPr>
        <w:pStyle w:val="TemplatePlaceholder"/>
      </w:pPr>
      <w:r>
        <w:t>Figure 1: Architecture of [Project Name].</w:t>
      </w:r>
    </w:p>
    <w:p>
      <w:pPr>
        <w:pStyle w:val="Heading1"/>
      </w:pPr>
      <w:r>
        <w:t>6 UI/UX Design</w:t>
      </w:r>
    </w:p>
    <w:p>
      <w:pPr>
        <w:pStyle w:val="TemplateInstruction"/>
        <w:spacing w:after="80"/>
      </w:pPr>
      <w:r>
        <w:t>This section connects the written design to the user experience. The UI/UX artifacts should reflect the users, user stories, acceptance criteria, constraints, and terminology established earlier in this document. If your project is not primarily screen-based, adapt this section to show the major user interaction flow and the interface(s) through which users interact with the system.</w:t>
      </w:r>
    </w:p>
    <w:p>
      <w:pPr>
        <w:pStyle w:val="Heading2"/>
      </w:pPr>
      <w:r>
        <w:t>6.1 Application / Experience Flow</w:t>
      </w:r>
    </w:p>
    <w:p>
      <w:pPr>
        <w:pStyle w:val="TemplateInstruction"/>
        <w:spacing w:after="80"/>
      </w:pPr>
      <w:r>
        <w:t>Create a clean visual flow showing the major screens, views, interaction points, or user states and how users move between them. Label important transitions/actions and distinguish user roles/personas when that improves clarity. Keep the diagram focused on the main experience rather than every modal, confirmation box, or trivial UI state.</w:t>
      </w:r>
    </w:p>
    <w:p>
      <w:pPr>
        <w:pStyle w:val="TemplatePlaceholder"/>
      </w:pPr>
      <w:r>
        <w:t>[Insert brief explanation of the user/experience flow here.]</w:t>
      </w:r>
    </w:p>
    <w:p>
      <w:pPr>
        <w:pStyle w:val="TemplatePlaceholder"/>
      </w:pPr>
      <w:r>
        <w:t>[INSERT EXPERIENCE FLOW DIAGRAM HERE]</w:t>
      </w:r>
    </w:p>
    <w:p>
      <w:pPr>
        <w:pStyle w:val="TemplatePlaceholder"/>
      </w:pPr>
      <w:r>
        <w:t>Figure 2: Major user/experience flow for [Project Name].</w:t>
      </w:r>
    </w:p>
    <w:p>
      <w:pPr>
        <w:pStyle w:val="Heading2"/>
      </w:pPr>
      <w:r>
        <w:t>6.2 Interactive UI/UX Prototype</w:t>
      </w:r>
    </w:p>
    <w:p>
      <w:pPr>
        <w:pStyle w:val="TemplateInstruction"/>
        <w:spacing w:after="80"/>
      </w:pPr>
      <w:r>
        <w:t>Use Figma Make (or another instructor-approved AI-assisted design workflow) to create and iteratively refine an interactive prototype representing the major screens and user flows required by the design. You are encouraged to provide this Software Design Document, existing images/designs, and other relevant artifacts to the design tool as context rather than re-describing the project from memory.</w:t>
      </w:r>
    </w:p>
    <w:p>
      <w:pPr>
        <w:pStyle w:val="TemplateInstruction"/>
        <w:spacing w:after="80"/>
      </w:pPr>
      <w:r>
        <w:t>Treat the first AI-generated design as a draft. Review it against this document, correct missing or invented requirements, improve usability and terminology, and intentionally steer the design toward the experience you actually want.</w:t>
      </w:r>
    </w:p>
    <w:p>
      <w:pPr>
        <w:pStyle w:val="TemplatePlaceholder"/>
      </w:pPr>
      <w:r>
        <w:t>Prototype / Figma Make Link: [Paste a public/shareable link here.]</w:t>
      </w:r>
    </w:p>
    <w:p>
      <w:pPr>
        <w:pStyle w:val="Heading2"/>
      </w:pPr>
      <w:r>
        <w:t>6.3 Design Alignment &amp; Human Refinement</w:t>
      </w:r>
    </w:p>
    <w:p>
      <w:pPr>
        <w:pStyle w:val="TemplateInstruction"/>
        <w:spacing w:after="80"/>
      </w:pPr>
      <w:r>
        <w:t>Briefly demonstrate that the prototype supports the most important user stories/acceptance criteria and document at least THREE meaningful design refinements that you intentionally made after reviewing the AI-generated design. Good refinements include correcting missing requirements, improving navigation, replacing technical jargon, changing visual hierarchy, addressing accessibility/usability concerns, correcting false assumptions, or strengthening consistency with the design document.</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96"/>
            <w:shd w:fill="D9EAF7"/>
            <w:tcMar>
              <w:top w:w="100" w:type="dxa"/>
              <w:start w:w="120" w:type="dxa"/>
              <w:bottom w:w="100" w:type="dxa"/>
              <w:end w:w="120" w:type="dxa"/>
            </w:tcMar>
            <w:vAlign w:val="center"/>
          </w:tcPr>
          <w:p>
            <w:pPr>
              <w:spacing w:after="0"/>
              <w:jc w:val="center"/>
            </w:pPr>
            <w:r>
              <w:rPr>
                <w:b/>
                <w:color w:val="1F4E79"/>
                <w:sz w:val="18"/>
              </w:rPr>
              <w:t>Design Refinement</w:t>
            </w:r>
          </w:p>
        </w:tc>
        <w:tc>
          <w:tcPr>
            <w:tcW w:type="dxa" w:w="4104"/>
            <w:shd w:fill="D9EAF7"/>
            <w:tcMar>
              <w:top w:w="100" w:type="dxa"/>
              <w:start w:w="120" w:type="dxa"/>
              <w:bottom w:w="100" w:type="dxa"/>
              <w:end w:w="120" w:type="dxa"/>
            </w:tcMar>
            <w:vAlign w:val="center"/>
          </w:tcPr>
          <w:p>
            <w:pPr>
              <w:spacing w:after="0"/>
              <w:jc w:val="center"/>
            </w:pPr>
            <w:r>
              <w:rPr>
                <w:b/>
                <w:color w:val="1F4E79"/>
                <w:sz w:val="18"/>
              </w:rPr>
              <w:t>Why It Was Changed</w:t>
            </w:r>
          </w:p>
        </w:tc>
        <w:tc>
          <w:tcPr>
            <w:tcW w:type="dxa" w:w="2088"/>
            <w:shd w:fill="D9EAF7"/>
            <w:tcMar>
              <w:top w:w="100" w:type="dxa"/>
              <w:start w:w="120" w:type="dxa"/>
              <w:bottom w:w="100" w:type="dxa"/>
              <w:end w:w="120" w:type="dxa"/>
            </w:tcMar>
            <w:vAlign w:val="center"/>
          </w:tcPr>
          <w:p>
            <w:pPr>
              <w:spacing w:after="0"/>
              <w:jc w:val="center"/>
            </w:pPr>
            <w:r>
              <w:rPr>
                <w:b/>
                <w:color w:val="1F4E79"/>
                <w:sz w:val="18"/>
              </w:rPr>
              <w:t>Related Story / Requirement</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bl>
    <w:p/>
    <w:p>
      <w:pPr>
        <w:pStyle w:val="TemplateInstruction"/>
        <w:spacing w:after="80"/>
      </w:pPr>
      <w:r>
        <w:t>Add rows if needed. Keep this reflection concise; the purpose is to show deliberate human review and steering, not to document every design prompt or edit.</w:t>
      </w:r>
    </w:p>
    <w:p>
      <w:pPr>
        <w:pStyle w:val="Heading1"/>
      </w:pPr>
      <w:r>
        <w:t>7 Key Design Decisions &amp; Open Questions</w:t>
      </w:r>
    </w:p>
    <w:p>
      <w:pPr>
        <w:pStyle w:val="Heading2"/>
      </w:pPr>
      <w:r>
        <w:t>7.1 Key Design Decisions</w:t>
      </w:r>
    </w:p>
    <w:p>
      <w:pPr>
        <w:pStyle w:val="TemplateInstruction"/>
        <w:spacing w:after="80"/>
      </w:pPr>
      <w:r>
        <w:t>Capture a short list of important decisions that future developers and AI agents should understand because changing them could significantly affect the project. Focus on decisions that explain WHY the design has taken a particular direction, especially where multiple reasonable alternatives existed. Use IDs such as DD-01, DD-02, etc. when useful.</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DD-01 - Authentication Strategy: Use university single sign-on rather than custom passwords because the application is limited to institutional users and centralized access management is preferred.</w:t>
            </w:r>
          </w:p>
        </w:tc>
      </w:tr>
    </w:tbl>
    <w:p>
      <w:pPr>
        <w:spacing w:after="20"/>
      </w:pPr>
    </w:p>
    <w:p>
      <w:pPr>
        <w:pStyle w:val="TemplatePlaceholder"/>
      </w:pPr>
      <w:r>
        <w:t>[List key design decisions here.]</w:t>
      </w:r>
    </w:p>
    <w:p>
      <w:pPr>
        <w:pStyle w:val="Heading2"/>
      </w:pPr>
      <w:r>
        <w:t>7.2 Open Questions, Assumptions &amp; Risks</w:t>
      </w:r>
    </w:p>
    <w:p>
      <w:pPr>
        <w:pStyle w:val="TemplateInstruction"/>
        <w:spacing w:after="80"/>
      </w:pPr>
      <w:r>
        <w:t>Identify unresolved decisions, assumptions that still need validation, or significant risks that could alter the design or implementation. These are items a future implementation agent should NOT silently guess. State what is unknown and, when possible, what evidence or decision would resolve it.</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OQ-01 - Notification Provider: Push notifications are required, but the final provider has not been selected. Compare Firebase Cloud Messaging and the platform-native option before implementation.</w:t>
            </w:r>
          </w:p>
          <w:p>
            <w:pPr>
              <w:spacing w:after="40"/>
            </w:pPr>
            <w:r>
              <w:rPr>
                <w:i/>
                <w:color w:val="707070"/>
                <w:sz w:val="19"/>
              </w:rPr>
              <w:t>RISK-01 - API Availability: The proposed third-party service has a free tier, but rate limits may be too low for the final deployment; verify expected usage before implementation.</w:t>
            </w:r>
          </w:p>
        </w:tc>
      </w:tr>
    </w:tbl>
    <w:p>
      <w:pPr>
        <w:spacing w:after="20"/>
      </w:pPr>
    </w:p>
    <w:p>
      <w:pPr>
        <w:pStyle w:val="TemplatePlaceholder"/>
      </w:pPr>
      <w:r>
        <w:t>[List open questions, assumptions, and significant risks here.]</w:t>
      </w:r>
    </w:p>
    <w:p>
      <w:pPr>
        <w:pStyle w:val="Heading1"/>
      </w:pPr>
      <w:r>
        <w:t>8 References &amp; Supporting Links (Optional)</w:t>
      </w:r>
    </w:p>
    <w:p>
      <w:pPr>
        <w:pStyle w:val="TemplateInstruction"/>
        <w:spacing w:after="80"/>
      </w:pPr>
      <w:r>
        <w:t>Include authoritative sources, standards, product documentation, API references, research papers, or other external material that materially informed your design decisions. This section is optional unless sources are necessary to support specific claims or constraints. Prefer original/primary sources when practical.</w:t>
      </w:r>
    </w:p>
    <w:p>
      <w:pPr>
        <w:pStyle w:val="TemplatePlaceholder"/>
      </w:pPr>
      <w:r>
        <w:t>[List references and supporting links here.]</w:t>
      </w:r>
    </w:p>
    <w:p>
      <w:pPr>
        <w:pStyle w:val="Heading1"/>
      </w:pPr>
      <w:r>
        <w:t>Final SDD Quality Check</w:t>
      </w:r>
    </w:p>
    <w:p>
      <w:pPr>
        <w:pStyle w:val="TemplateInstruction"/>
        <w:spacing w:after="80"/>
      </w:pPr>
      <w:r>
        <w:t>Before submitting, verify that the document is internally consistent and can stand on its own. At minimum:</w:t>
      </w:r>
    </w:p>
    <w:p>
      <w:pPr>
        <w:pStyle w:val="TemplateBullet"/>
      </w:pPr>
      <w:r>
        <w:t>• The problem, proposed solution, MVP scope, and out-of-scope items do not contradict one another.</w:t>
      </w:r>
    </w:p>
    <w:p>
      <w:pPr>
        <w:pStyle w:val="TemplateBullet"/>
      </w:pPr>
      <w:r>
        <w:t>• Major user capabilities appear as user stories with objective acceptance criteria.</w:t>
      </w:r>
    </w:p>
    <w:p>
      <w:pPr>
        <w:pStyle w:val="TemplateBullet"/>
      </w:pPr>
      <w:r>
        <w:t>• Important security, privacy, domain, platform, and other constraints are explicitly documented rather than assumed.</w:t>
      </w:r>
    </w:p>
    <w:p>
      <w:pPr>
        <w:pStyle w:val="TemplateBullet"/>
      </w:pPr>
      <w:r>
        <w:t>• Architecture and UI/UX artifacts are consistent with the written requirements.</w:t>
      </w:r>
    </w:p>
    <w:p>
      <w:pPr>
        <w:pStyle w:val="TemplateBullet"/>
      </w:pPr>
      <w:r>
        <w:t>• Important user stories/requirements can be traced into the UI/UX design where applicable.</w:t>
      </w:r>
    </w:p>
    <w:p>
      <w:pPr>
        <w:pStyle w:val="TemplateBullet"/>
      </w:pPr>
      <w:r>
        <w:t>• Major unresolved questions are identified instead of being silently decided by an AI tool.</w:t>
      </w:r>
    </w:p>
    <w:p>
      <w:pPr>
        <w:pStyle w:val="TemplateBullet"/>
      </w:pPr>
      <w:r>
        <w:t>• All gray instructional/example text and placeholder content has been deleted or replaced.</w:t>
      </w:r>
    </w:p>
    <w:p>
      <w:pPr>
        <w:pStyle w:val="TemplateInstruction"/>
        <w:spacing w:after="80"/>
      </w:pPr>
      <w:r>
        <w:t>The final document should be useful as a source for later implementation planning and agentic development - not simply as an assignment submission.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919191"/>
        <w:sz w:val="16"/>
      </w:rPr>
      <w:t>CSCI 5520 - Software Design Document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pPr>
      <w:spacing w:after="80" w:line="245" w:lineRule="auto"/>
    </w:pPr>
    <w:rPr>
      <w:rFonts w:ascii="Liberation Sans" w:hAnsi="Liberation Sans"/>
      <w:i/>
      <w:color w:val="707070"/>
      <w:sz w:val="19"/>
    </w:rPr>
  </w:style>
  <w:style w:type="paragraph" w:customStyle="1" w:styleId="TemplatePlaceholder">
    <w:name w:val="Template Placeholder"/>
    <w:pPr>
      <w:spacing w:after="200"/>
    </w:pPr>
    <w:rPr>
      <w:rFonts w:ascii="Liberation Sans" w:hAnsi="Liberation Sans"/>
      <w:i/>
      <w:color w:val="707070"/>
      <w:sz w:val="21"/>
    </w:rPr>
  </w:style>
  <w:style w:type="paragraph" w:customStyle="1" w:styleId="TemplateBullet">
    <w:name w:val="Template Bullet"/>
    <w:pPr>
      <w:spacing w:after="40"/>
      <w:ind w:left="360" w:hanging="187"/>
    </w:pPr>
    <w:rPr>
      <w:rFonts w:ascii="Liberation Sans" w:hAnsi="Liberation Sans"/>
      <w:i/>
      <w:color w:val="707070"/>
      <w:sz w:val="19"/>
    </w:rPr>
  </w:style>
  <w:style w:type="paragraph" w:customStyle="1" w:styleId="TemplateBullet2">
    <w:name w:val="Template Bullet 2"/>
    <w:pPr>
      <w:spacing w:after="40"/>
      <w:ind w:left="720" w:hanging="187"/>
    </w:pPr>
    <w:rPr>
      <w:rFonts w:ascii="Liberation Sans" w:hAnsi="Liberation Sans"/>
      <w:i/>
      <w:color w:val="7070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5520 Software Design Document Template</dc:title>
  <dc:subject>AI-Driven Software Development - Software Design Document Template</dc:subject>
  <dc:creator>California Baptist University</dc:creator>
  <cp:keywords/>
  <dc:description>generated by python-docx</dc:description>
  <cp:lastModifiedBy/>
  <cp:revision>1</cp:revision>
  <dcterms:created xsi:type="dcterms:W3CDTF">2013-12-23T23:15:00Z</dcterms:created>
  <dcterms:modified xsi:type="dcterms:W3CDTF">2013-12-23T23:15:00Z</dcterms:modified>
  <cp:category/>
</cp:coreProperties>
</file>