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20" w:line="339.5368421052632" w:lineRule="auto"/>
        <w:contextualSpacing w:val="0"/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u w:val="single"/>
          <w:rtl w:val="0"/>
        </w:rPr>
        <w:t xml:space="preserve">Report (Word Document):</w:t>
      </w:r>
    </w:p>
    <w:p w:rsidR="00000000" w:rsidDel="00000000" w:rsidP="00000000" w:rsidRDefault="00000000" w:rsidRPr="00000000">
      <w:pPr>
        <w:spacing w:after="220" w:line="339.5368421052632" w:lineRule="auto"/>
        <w:contextualSpacing w:val="0"/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Using what you know about the company from this case study, create a report with your audit findings, making sure to include responses to the questions below: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u w:val="single"/>
          <w:rtl w:val="0"/>
        </w:rPr>
        <w:t xml:space="preserve">NOTE: The questions below are in no significant order. Make sure to review each and include in a format that makes sense to the executives. Since this document is going to the CIO of the company, make sure to include a table of contents and Executive Summary section.)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Does the company use a defense in depth or layered defense approach to Information Security based on knowledge of policies, practices, and network design?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Rule="auto"/>
        <w:ind w:left="2260" w:right="4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Does the provided network diagram adequately use these approaches for technical controls inside a corporate organization? What could they do differently to improve the network’s overall security? Are there additional technical controls needed?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is a DMZ? Could this company benefit from the use of one? If so, what assets should be placed in the DMZ?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threats and vulnerabilities does this company face given their current Information Security posture?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type of data does the company process? What types of laws/regulations/compliance does the company have to abide by?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Is there any risk of exposure to credit card number theft?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How can Information Security posture become better in the organization?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How should the company address risk issues and assessments?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How can policies and procedures inside the company be altered to benefit processes and positively impact emergency downtimes and procedures?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Are the policies that you have created for the company part of an Enterprise (Program) Information Security Policy, Issue-Specific Security Policy, or System Specific Policy?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type of communication should this company encrypt? Should they encrypt data at rest, data in transit, or both? Why? How should policies for data encryption be handled?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can the company use to handle business continuity in the event of a disaster? Given the maximum tolerable downtimes for critical systems, what steps/processes/technology can the IT department ensure optimal recovery times?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Rule="auto"/>
        <w:ind w:left="2260" w:right="4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Given some of these critical systems, what should backups and data retention policies be for these? Remember to take into account the company’s physical location (Headquarters).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9.5368421052632" w:lineRule="auto"/>
        <w:ind w:left="1160" w:right="2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highlight w:val="white"/>
          <w:rtl w:val="0"/>
        </w:rPr>
        <w:t xml:space="preserve">What is the basis for your audit suggestion and the purpose and justification for them? What problem/issue/risk will they be resolving?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333333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333333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