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FREIGHTSETTLE</w:t>
      </w:r>
    </w:p>
    <w:p>
      <w:pPr>
        <w:spacing w:before="200"/>
        <w:jc w:val="center"/>
      </w:pPr>
      <w:r>
        <w:rPr>
          <w:rFonts w:ascii="Arial" w:cs="Arial" w:eastAsia="Arial" w:hAnsi="Arial"/>
          <w:color w:val="2E5A8F"/>
          <w:sz w:val="28"/>
          <w:szCs w:val="28"/>
        </w:rPr>
        <w:t xml:space="preserve">Cross-Border Freight Invoice Reconciliation</w:t>
      </w:r>
    </w:p>
    <w:p>
      <w:pPr>
        <w:jc w:val="center"/>
      </w:pPr>
      <w:r>
        <w:rPr>
          <w:rFonts w:ascii="Arial" w:cs="Arial" w:eastAsia="Arial" w:hAnsi="Arial"/>
          <w:color w:val="2E5A8F"/>
          <w:sz w:val="28"/>
          <w:szCs w:val="28"/>
        </w:rPr>
        <w:t xml:space="preserve">&amp; Settlement Infrastructure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COMPLETE STARTUP BLUEPRINT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June 2026</w:t>
      </w:r>
    </w:p>
    <w:p>
      <w:pPr>
        <w:spacing w:before="600"/>
      </w:pPr>
    </w:p>
    <w:p>
      <w:pPr>
        <w:pBdr>
          <w:bottom w:val="single" w:color="1E3A5F" w:sz="12" w:space="1"/>
        </w:pBdr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Score: 94/100  |  APPROVED — BUILD IT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Economically Inevitable Infrastructure Opportunity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the Global Freight Audit &amp; Payment Market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— FOR FOUNDERS &amp; EARLY TEAM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FreightSettle is the operational infrastructure layer for cross-border freight financial operations. It automates invoice ingestion, rate agreement matching, discrepancy detection, dispute management, and settlement for international freight forwarders, NVOCCs, and mid-market shippers.</w:t>
      </w:r>
    </w:p>
    <w:p>
      <w:pPr>
        <w:pStyle w:val="Heading2"/>
      </w:pPr>
      <w:r>
        <w:t xml:space="preserve">The Core Problem</w:t>
      </w:r>
    </w:p>
    <w:p>
      <w:r>
        <w:rPr>
          <w:sz w:val="22"/>
          <w:szCs w:val="22"/>
        </w:rPr>
        <w:t xml:space="preserve">Every day, ~150,000 containers cross borders. Each generates 8–35 financial documents. Reconciliation is still performed manually with Excel and email. APQC research shows 12–15% error rates on manufacturing freight invoices. Average manual processing cost: $21.40 per invoice. A typical mid-sized forwarder with $15M annual freight spend faces $180K–$750K in annual overpayment exposure and dedicates 2–4 full-time staff to invoice checking.</w:t>
      </w:r>
    </w:p>
    <w:p>
      <w:pPr>
        <w:pStyle w:val="Heading2"/>
      </w:pPr>
      <w:r>
        <w:t xml:space="preserve">The 2026 Catalyst</w:t>
      </w:r>
    </w:p>
    <w:p>
      <w:r>
        <w:rPr>
          <w:sz w:val="22"/>
          <w:szCs w:val="22"/>
        </w:rPr>
        <w:t xml:space="preserve">Two major regulatory developments in early 2026 have dramatically strengthened this opportunity: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FSMA 204 Compliance Date Extended to July 20, 2028 — removing immediate urgency from food traceability and weakening competing cold-chain compliance plays.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FMC $22.67M Enforcement Action (Jan 2026) against MSC — establishing that repeated billing errors constitute unlawful practices and creating legal demand for accurate, auditable freight invoicing.</w:t>
      </w:r>
    </w:p>
    <w:p>
      <w:pPr>
        <w:pStyle w:val="Heading2"/>
      </w:pPr>
      <w:r>
        <w:t xml:space="preserve">Why FreightSettle Wins</w:t>
      </w:r>
    </w:p>
    <w:p>
      <w:r>
        <w:rPr>
          <w:sz w:val="22"/>
          <w:szCs w:val="22"/>
        </w:rPr>
        <w:t xml:space="preserve">After evaluating 50+ opportunities and stress-testing the top three finalists, FreightSettle scored 94/100 — the clear winner. It combines immediate, measurable ROI (2–5% freight spend recovery), massive existing spend ($284.5M–$0.97B market growing 11–14% CAGR), extreme fragmentation (100,000+ forwarders largely ignored by enterprise players), and a durable data moat from accumulated rate agreements and carrier surcharge patterns.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It can be built by one developer for under $100/month, reach first revenue in 60 days, and scale to $100M+ ARR through self-serve distribution and marketplace leverage (Cargowise).</w:t>
      </w:r>
    </w:p>
    <w:p>
      <w:pPr>
        <w:pStyle w:val="Heading1"/>
      </w:pPr>
      <w:r>
        <w:t xml:space="preserve">2. The Opportunity: Why FreightSettle</w:t>
      </w:r>
    </w:p>
    <w:p>
      <w:pPr>
        <w:pStyle w:val="Heading2"/>
      </w:pPr>
      <w:r>
        <w:t xml:space="preserve">Comparative Scoring (Top 3 Finalists)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88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 (Weight)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FreightSettle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CertBridge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WasteRoute</w:t>
            </w:r>
          </w:p>
        </w:tc>
        <w:tc>
          <w:tcPr>
            <w:tcW w:type="dxa" w:w="1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 Intensity (20%)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17/20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15/20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FreightSettle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(15%)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13/15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FreightSettle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 Spend (15%)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FreightSettle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Fragmentation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14/15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Bootstrap Feasibility (10%)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7/10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FreightSettle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Retention Potential (10%)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8/10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FreightSettle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77/100</w:t>
            </w:r>
          </w:p>
        </w:tc>
        <w:tc>
          <w:tcPr>
            <w:tcW w:type="dxa" w:w="1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FREIGHTSETTLE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Key Differentiators of FreightSettle: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Universal daily pain with measurable ROI (2–5% recovery on freight spend)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Massive existing spend already flowing to manual processes or enterprise tools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Cross-border complexity creates durable moat (multi-currency, port tariffs, surcharge rules)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Perfect bootstrap shape: PDF in → discrepancy report out; first revenue in weeks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Regulatory tailwind accelerating (FMC enforcement) while competitor tailwind delayed (FSMA 204 to 2028)</w:t>
      </w:r>
    </w:p>
    <w:p>
      <w:pPr>
        <w:pStyle w:val="Heading1"/>
      </w:pPr>
      <w:r>
        <w:t xml:space="preserve">3. Market Context &amp; Validation (2026)</w:t>
      </w:r>
    </w:p>
    <w:p>
      <w:pPr>
        <w:pStyle w:val="Heading2"/>
      </w:pPr>
      <w:r>
        <w:t xml:space="preserve">Market Size &amp; Growth</w:t>
      </w:r>
    </w:p>
    <w:p>
      <w:r>
        <w:rPr>
          <w:sz w:val="22"/>
          <w:szCs w:val="22"/>
        </w:rPr>
        <w:t xml:space="preserve">The global freight audit and payment (FAP) market is experiencing strong, sustained growth as supply chain complexity and regulatory scrutiny increase: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Size &amp; Projection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SkyQuest (2026)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$284.5M (2024) → $910.67M (2033)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Technavio (Mar 2026)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+$651.2M growth (2026–2030)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Mordor Intelligence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$0.97B (2025) → $1.89B (2030)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14.2%</w:t>
            </w:r>
          </w:p>
        </w:tc>
      </w:tr>
    </w:tbl>
    <w:p>
      <w:pPr>
        <w:spacing w:before="200"/>
      </w:pPr>
      <w:r>
        <w:rPr>
          <w:i/>
          <w:iCs/>
          <w:sz w:val="22"/>
          <w:szCs w:val="22"/>
        </w:rPr>
        <w:t xml:space="preserve">Critical Insight: All major research firms confirm the SMB segment is the fastest-growing and least-served portion of the market. Enterprise players (Cass, Trax) have cost structures that prevent them from profitably serving companies below ~$10M annual freight spend.</w:t>
      </w:r>
    </w:p>
    <w:p>
      <w:pPr>
        <w:pStyle w:val="Heading2"/>
      </w:pPr>
      <w:r>
        <w:t xml:space="preserve">Daily Pain — Quantified</w:t>
      </w:r>
    </w:p>
    <w:p>
      <w:r>
        <w:rPr>
          <w:sz w:val="22"/>
          <w:szCs w:val="22"/>
        </w:rPr>
        <w:t xml:space="preserve">A typical mid-sized freight forwarder (50 employees, $15M annual freight spend):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Receives 800–2,000 invoices/month from carriers, terminals, customs brokers, warehouses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12–15% of invoices contain errors (APQC 2024)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Average manual processing cost: $12–$30 per invoice (median $21.40)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overpayment exposure: $15,000–$75,000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Annual overpayment exposure: $180,000–$750,000 (1.2–5% of freight spend)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2–4 FTEs dedicated to invoice checking at $35K–$65K/year each</w:t>
      </w:r>
    </w:p>
    <w:p>
      <w:pPr>
        <w:pStyle w:val="Heading2"/>
      </w:pPr>
      <w:r>
        <w:t xml:space="preserve">Why Now — Six Converging Forces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Regulatory enforcement accelerating — FMC Jan 2026 $22.67M precedent on billing errors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Major carriers digitizing invoicing (DCSA standards adoption accelerating in 2025–2026)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Post-pandemic rate volatility created explosion in surcharge complexity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Forwarder margins compressed — recovering 2–5% is fastest path to margin improvement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LLM-powered document extraction now commodity — removes historical technical barrier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Enterprise players cannot profitably serve the SMB segment (the fastest-growing part of the market)</w:t>
      </w:r>
    </w:p>
    <w:p>
      <w:pPr>
        <w:pStyle w:val="Heading1"/>
      </w:pPr>
      <w:r>
        <w:t xml:space="preserve">4. Product Architecture</w:t>
      </w:r>
    </w:p>
    <w:p>
      <w:pPr>
        <w:pStyle w:val="Heading2"/>
      </w:pPr>
      <w:r>
        <w:t xml:space="preserve">Seven-Layer Product Stack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Invoice Ingestion Engine (MVP) — Email forwarding, PDF/EDI/API/CSV upload, structured data extraction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Rate Agreement Repository — Upload rate cards, structured storage, surcharge rule engine, expiry tracking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Reconciliation Engine (Core) — Auto-matching, variance detection, surcharge validation, currency validation, confidence scoring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Dispute Management — Automated evidence packages, carrier workflows, tracking, escalation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Settlement &amp; Payment Orchestration (Growth) — Netting, multi-currency, payment instructions, remittance advice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Analytics &amp; Reporting — Spend by carrier/lane/mode, error rates, recovery tracking, carrier scoring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Compliance &amp; Audit Trail — Full immutable audit log, tax documentation support, exportable records</w:t>
      </w:r>
    </w:p>
    <w:p>
      <w:pPr>
        <w:pStyle w:val="Heading2"/>
      </w:pPr>
      <w:r>
        <w:t xml:space="preserve">Technical Stack (Bootstrap-Optimized)</w:t>
      </w:r>
    </w:p>
    <w:p>
      <w:r>
        <w:rPr>
          <w:sz w:val="20"/>
          <w:szCs w:val="20"/>
        </w:rPr>
        <w:t xml:space="preserve">Backend: Java 21 + Spring Boot 3.2  |  Database: PostgreSQL 16 (multi-tenant schema isolation)  |  Cache/Queue: Redis 7 + RabbitMQ 3.13  |  Search: Meilisearch  |  Document Extraction: Apache PDFBox + regex + API fallback  |  Hosting: Hetzner Cloud (CPX41 — €15.90/mo)  |  Frontend: React + Tailwind</w:t>
      </w:r>
    </w:p>
    <w:p>
      <w:pPr>
        <w:spacing w:before="120"/>
      </w:pPr>
      <w:r>
        <w:rPr>
          <w:i/>
          <w:iCs/>
          <w:sz w:val="20"/>
          <w:szCs w:val="20"/>
        </w:rPr>
        <w:t xml:space="preserve">Initial infrastructure cost: $52–$87/month. Event-driven architecture with multi-region readiness (EU launch → US → APAC).</w:t>
      </w:r>
    </w:p>
    <w:p>
      <w:pPr>
        <w:pStyle w:val="Heading1"/>
      </w:pPr>
      <w:r>
        <w:t xml:space="preserve">5. Business Model, Pricing &amp; Unit Economics</w:t>
      </w:r>
    </w:p>
    <w:p>
      <w:pPr>
        <w:pStyle w:val="Heading2"/>
      </w:pPr>
      <w:r>
        <w:t xml:space="preserve">Pricing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520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Invoices/Mo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Per-Invoice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forwarder (5–20 emp)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200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$99/mo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$0.50</w:t>
            </w:r>
          </w:p>
        </w:tc>
      </w:tr>
      <w:tr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 forwarder (20–100 emp)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1,000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$399/mo</w:t>
            </w:r>
          </w:p>
        </w:tc>
        <w:tc>
          <w:tcPr>
            <w:tcW w:type="dxa" w:w="201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$0.40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forwarder (100–500 emp)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5,000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$999/mo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$0.20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Audit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size (gain-share)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volume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 of recovered savings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</w:tbl>
    <w:p>
      <w:pPr>
        <w:pStyle w:val="Heading2"/>
      </w:pPr>
      <w:r>
        <w:t xml:space="preserve">Unit Economics (Professional Tier)</w:t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</w:tblGrid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 Cost per 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~$3/month</w:t>
            </w:r>
          </w:p>
        </w:tc>
      </w:tr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 CAC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 (Phase 1–2)</w:t>
            </w:r>
          </w:p>
        </w:tc>
      </w:tr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Churn (est.)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2–3%</w:t>
            </w:r>
          </w:p>
        </w:tc>
      </w:tr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LTV (36-month)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$11,970</w:t>
            </w:r>
          </w:p>
        </w:tc>
      </w:tr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LTV / CAC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60x</w:t>
            </w:r>
          </w:p>
        </w:tc>
      </w:tr>
    </w:tbl>
    <w:p>
      <w:pPr>
        <w:spacing w:before="200"/>
      </w:pPr>
      <w:r>
        <w:rPr>
          <w:i/>
          <w:iCs/>
          <w:sz w:val="20"/>
          <w:szCs w:val="20"/>
        </w:rPr>
        <w:t xml:space="preserve">Infrastructure at 1,000 customers: ~$345/month total (0.12% of revenue). Extremely capital efficient.</w:t>
      </w:r>
    </w:p>
    <w:p>
      <w:pPr>
        <w:pStyle w:val="Heading1"/>
      </w:pPr>
      <w:r>
        <w:t xml:space="preserve">6. Go-to-Market &amp; Distribution Strategy</w:t>
      </w:r>
    </w:p>
    <w:p>
      <w:pPr>
        <w:pStyle w:val="Heading2"/>
      </w:pPr>
      <w:r>
        <w:t xml:space="preserve">Phased Customer Acquisition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1 (Month 1–6): Direct community insertion — LinkedIn freight groups, Freight Waves, The Loadstar, FIATA national associations (FENEX, BIFA, DSLV). Free audit tool (upload 10 invoices → get discrepancy report) as lead magnet.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2 (Month 6–18): Referral + integration — Cargowise eHub integration (15,000+ forwarder offices), customer referral program, carrier-side billing quality reports.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 (Month 18–36): Ecosystem distribution — Cargowise marketplace, Descartes/BluJay integrations, banking/trade finance partnerships, geographic expansion (Singapore, Dubai, Miami, Shanghai).</w:t>
      </w:r>
    </w:p>
    <w:p>
      <w:pPr>
        <w:pStyle w:val="Heading2"/>
      </w:pPr>
      <w:r>
        <w:t xml:space="preserve">First 10 Customers Strategy</w:t>
      </w:r>
    </w:p>
    <w:p>
      <w:r>
        <w:rPr>
          <w:sz w:val="22"/>
          <w:szCs w:val="22"/>
        </w:rPr>
        <w:t xml:space="preserve">Target 50 forwarders in Rotterdam/Hamburg (10–100 employees) on LinkedIn. Identify operations/finance managers suffering the pain. Offer free processing of last month’s invoices with personalized outreach referencing specific carrier surcharge changes. Expected conversion: 10–20% of engaged prospects → 10 customers in 2 months.</w:t>
      </w:r>
    </w:p>
    <w:p>
      <w:pPr>
        <w:pStyle w:val="Heading1"/>
      </w:pPr>
      <w:r>
        <w:t xml:space="preserve">7. 12-Month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8400"/>
      </w:tblGrid>
      <w:tr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Months</w:t>
            </w:r>
          </w:p>
        </w:tc>
        <w:tc>
          <w:tcPr>
            <w:tcW w:type="dxa" w:w="8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MVP: Email ingestion, PDF extraction (top 5 ocean carriers), rate upload, basic matching, discrepancy reports, auth + billing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3–4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Reconciliation: Top 20 ocean + top 5 air carriers, surcharge validation engine, currency validation, dispute workflow with evidence PDF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5–6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 Features: Trucking support, terminal tariff database (top 20 ports), carrier performance scoring, spend analytics, API access, German + Dutch language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7–8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Scale: Cargowise integration, EDI 210/810, rate auto-extraction, bulk historical processing, public free audit tool, referral program launch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9–10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Settlement Layer: Multi-invoice netting, payment instructions, credit note matching, demurrage/detention module, Managed Audit offering launch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11–12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Expansion: Singapore region, Mandarin + Spanish, insurance documentation integration, SOC 2 Type 1 prep, carrier-side portal, partner program</w:t>
            </w:r>
          </w:p>
        </w:tc>
      </w:tr>
    </w:tbl>
    <w:p>
      <w:pPr>
        <w:pStyle w:val="Heading1"/>
      </w:pPr>
      <w:r>
        <w:t xml:space="preserve">8. Path to Revenue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3360"/>
      </w:tblGrid>
      <w:tr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Customers / ARPU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Enablers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$1K MRR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outreach + free tool in NL/DE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$10K MRR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5–8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30–50 customers, $250–400 ARPU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Cargowise integration start + referrals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$100K MRR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12–18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300–500 customers, $400–1K ARPU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Cargowise marketplace + managed audit</w:t>
            </w:r>
          </w:p>
        </w:tc>
      </w:tr>
      <w:tr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$1M ARR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10–15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250–400 customers @ $250 blended ARPU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Profitable from this point; hire first engineer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$10M ARR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24–36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2,000–5,000 customers globally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Multi-region + carrier-side portal + rate procurement module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$100M ARR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48–72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20K–50K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network + trade finance partnerships ("Stripe for freight finance")</w:t>
            </w:r>
          </w:p>
        </w:tc>
      </w:tr>
    </w:tbl>
    <w:p>
      <w:pPr>
        <w:pStyle w:val="Heading1"/>
      </w:pPr>
      <w:r>
        <w:t xml:space="preserve">9. Key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5040"/>
      </w:tblGrid>
      <w:tr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Prob.</w:t>
            </w:r>
          </w:p>
        </w:tc>
        <w:tc>
          <w:tcPr>
            <w:tcW w:type="dxa" w:w="5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Carrier invoice format changes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versioning + community-reported changes + automated failure detection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Cargowise builds competing feature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 deeper on reconciliation than they can afford as a feature; position as complement via integration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Cass/Trax moves downmarket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Their unit economics break below $10M spend; 2–3 year window of opportunity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extraction accuracy issues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with structured PDFs (80% of major carriers); flag uncertain extractions for human review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Single-developer key person risk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 architecture + comprehensive docs from day 1; hire first engineer at $10K MRR</w:t>
            </w:r>
          </w:p>
        </w:tc>
      </w:tr>
    </w:tbl>
    <w:p>
      <w:pPr>
        <w:pStyle w:val="Heading1"/>
      </w:pPr>
      <w:r>
        <w:t xml:space="preserve">10. Final Verdict</w:t>
      </w:r>
    </w:p>
    <w:p>
      <w:pPr>
        <w:pBdr>
          <w:bottom w:val="single" w:color="1E3A5F" w:sz="6" w:space="1"/>
        </w:pBdr>
        <w:spacing w:after="200"/>
      </w:pPr>
      <w:r>
        <w:rPr>
          <w:b/>
          <w:bCs/>
          <w:color w:val="1E3A5F"/>
          <w:sz w:val="26"/>
          <w:szCs w:val="26"/>
        </w:rPr>
        <w:t xml:space="preserve">APPROVED — Score: 94/100</w:t>
      </w:r>
    </w:p>
    <w:p>
      <w:pPr>
        <w:spacing w:before="200"/>
      </w:pPr>
      <w:r>
        <w:rPr>
          <w:sz w:val="22"/>
          <w:szCs w:val="22"/>
        </w:rPr>
        <w:t xml:space="preserve">FreightSettle is an economically inevitable infrastructure business. The $284.5M–$0.97B market already exists. 12–15% of invoices contain errors. 100,000+ forwarders are underserved. Regulatory enforcement is accelerating. It can be built by one developer for under $100/month with first revenue in 60 days.</w:t>
      </w:r>
    </w:p>
    <w:p>
      <w:pPr>
        <w:spacing w:before="200"/>
      </w:pPr>
      <w:r>
        <w:rPr>
          <w:b/>
          <w:bCs/>
          <w:i/>
          <w:iCs/>
          <w:sz w:val="22"/>
          <w:szCs w:val="22"/>
        </w:rPr>
        <w:t xml:space="preserve">This is not a startup idea. This is a market structure waiting for its coordination layer.</w:t>
      </w:r>
    </w:p>
    <w:p>
      <w:pPr>
        <w:spacing w:before="300"/>
        <w:jc w:val="center"/>
      </w:pPr>
      <w:r>
        <w:rPr>
          <w:b/>
          <w:bCs/>
          <w:color w:val="1E3A5F"/>
          <w:sz w:val="32"/>
          <w:szCs w:val="32"/>
        </w:rPr>
        <w:t xml:space="preserve">BUILD IT.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End of Blueprint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sz w:val="16"/>
        <w:szCs w:val="16"/>
      </w:rPr>
      <w:t xml:space="preserve">                                                                                          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FREIGHTSETTLE</w:t>
    </w:r>
    <w:r>
      <w:rPr>
        <w:rFonts w:ascii="Arial" w:cs="Arial" w:eastAsia="Arial" w:hAnsi="Arial"/>
        <w:color w:val="666666"/>
        <w:sz w:val="16"/>
        <w:szCs w:val="16"/>
      </w:rPr>
      <w:t xml:space="preserve">  |  Startup Blueprint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2026-06-04T09:36:36.404Z</dcterms:created>
  <dcterms:modified xsi:type="dcterms:W3CDTF">2026-06-04T09:36:36.405Z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