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Lung RNA-seq Differential Expression Analysis</w:t>
      </w:r>
    </w:p>
    <w:p>
      <w:pPr>
        <w:jc w:val="center"/>
      </w:pPr>
      <w:r>
        <w:rPr>
          <w:i/>
          <w:sz w:val="22"/>
        </w:rPr>
        <w:t>GEO dataset GSE229705 | Portfolio Project Report</w:t>
      </w:r>
    </w:p>
    <w:p>
      <w:pPr>
        <w:pStyle w:val="Heading1"/>
      </w:pPr>
      <w:r>
        <w:t>1. Project overview</w:t>
      </w:r>
    </w:p>
    <w:p>
      <w:r>
        <w:t>This project analyzes bulk lung RNA-sequencing count data to identify genes whose expression differs between tumour tissue and adjacent-normal lung tissue. The workflow includes sample matching, low-expression filtering, paired differential-expression modelling, gene annotation, visualization, and Gene Ontology (GO) biological-process over-representation analysis.</w:t>
      </w:r>
    </w:p>
    <w:p>
      <w:pPr>
        <w:pStyle w:val="Heading1"/>
      </w:pPr>
      <w:r>
        <w:t>2. Dataset and study design</w:t>
      </w:r>
    </w:p>
    <w:p>
      <w:r>
        <w:t>Dataset: GSE229705 from the NCBI Gene Expression Omnibus (GEO). The analysis-ready dataset contains 244 samples: 122 tumour samples and 122 adjacent-normal samples, organized as 122 matched patient pairs. The filtered count matrix initially contained 27,229 genes before the expression filter.</w:t>
      </w:r>
    </w:p>
    <w:p>
      <w:r>
        <w:t>Low-expression filtering retained genes with counts of at least 10 in at least 20 samples, leaving 25,002 genes. The analysis used the patient-paired design ~ Patient + Tissue, with adjacent-normal tissue as the reference and tumour tissue as the comparison.</w:t>
      </w:r>
    </w:p>
    <w:p>
      <w:pPr>
        <w:pStyle w:val="Heading1"/>
      </w:pPr>
      <w:r>
        <w:t>3. Analysis workflow</w:t>
      </w:r>
    </w:p>
    <w:p>
      <w:pPr>
        <w:pStyle w:val="ListNumber"/>
      </w:pPr>
      <w:r>
        <w:t>Prepared and aligned the count matrix and sample metadata; checked that sample IDs matched.</w:t>
      </w:r>
    </w:p>
    <w:p>
      <w:pPr>
        <w:pStyle w:val="ListNumber"/>
      </w:pPr>
      <w:r>
        <w:t>Preserved the matched-patient structure for tumour and adjacent-normal samples.</w:t>
      </w:r>
    </w:p>
    <w:p>
      <w:pPr>
        <w:pStyle w:val="ListNumber"/>
      </w:pPr>
      <w:r>
        <w:t>Filtered low-expression genes using rowSums(counts &gt;= 10) &gt;= 20.</w:t>
      </w:r>
    </w:p>
    <w:p>
      <w:pPr>
        <w:pStyle w:val="ListNumber"/>
      </w:pPr>
      <w:r>
        <w:t>Performed differential-expression analysis with DESeq2 in R, using glmGamPoi fitting and a likelihood-ratio test with the reduced model ~ Patient.</w:t>
      </w:r>
    </w:p>
    <w:p>
      <w:pPr>
        <w:pStyle w:val="ListNumber"/>
      </w:pPr>
      <w:r>
        <w:t>Annotated the differential-expression results using the supplied human GRCh38.p13 annotation table.</w:t>
      </w:r>
    </w:p>
    <w:p>
      <w:pPr>
        <w:pStyle w:val="ListNumber"/>
      </w:pPr>
      <w:r>
        <w:t>Generated PCA, volcano, and top-30-gene heatmap visualizations.</w:t>
      </w:r>
    </w:p>
    <w:p>
      <w:pPr>
        <w:pStyle w:val="ListNumber"/>
      </w:pPr>
      <w:r>
        <w:t>Performed GO Biological Process over-representation analysis using a hypergeometric test and Benjamini–Hochberg false-discovery-rate correction.</w:t>
      </w:r>
    </w:p>
    <w:p>
      <w:pPr>
        <w:pStyle w:val="Heading1"/>
      </w:pPr>
      <w:r>
        <w:t>4. Differential-expression results</w:t>
      </w:r>
    </w:p>
    <w:p>
      <w:r>
        <w:t>The filtered differential-expression table contains 25,002 genes. Based on the saved results summary, 17,850 genes had adjusted p-values (FDR) below 0.05. Applying the additional effect-size criterion |log2 fold change| &gt;= 1 together with FDR &lt; 0.05 identified 5,107 genes.</w:t>
      </w:r>
    </w:p>
    <w:p>
      <w:r>
        <w:t>Among genes meeting FDR &lt; 0.05, 8,107 had positive log2 fold changes and 9,743 had negative log2 fold changes. With tumour compared against adjacent-normal tissue, positive values indicate higher estimated expression in tumour, while negative values indicate lower estimated expression in tumour.</w:t>
      </w:r>
    </w:p>
    <w:p>
      <w:r>
        <w:t>These counts are based on the recorded project outputs and should be checked against the final CSV before external publication or formal submission.</w:t>
      </w:r>
    </w:p>
    <w:p>
      <w:pPr>
        <w:pStyle w:val="Heading1"/>
      </w:pPr>
      <w:r>
        <w:t>5. GO biological-process enrichment</w:t>
      </w:r>
    </w:p>
    <w:p>
      <w:r>
        <w:t>The corrected GO enrichment output reported six terms with FDR &lt; 0.05 in the results reviewed during the project. Leading terms included positive regulation of B-cell activation, phagocytosis recognition, phagocytosis engulfment, defense response to bacterium, mitochondrial translation, and B-cell receptor signaling.</w:t>
      </w:r>
    </w:p>
    <w:p>
      <w:r>
        <w:t>These results indicate that genes annotated to immune-related processes and other cellular processes were over-represented in the significant-gene list. Because this is bulk tissue, immune-related signals may reflect differences in infiltrating immune-cell abundance or activity as well as expression changes in tumour and non-tumour cells. GO enrichment alone does not establish a causal mechanism.</w:t>
      </w:r>
    </w:p>
    <w:p>
      <w:pPr>
        <w:pStyle w:val="Heading1"/>
      </w:pPr>
      <w:r>
        <w:t>6. Visualizations</w:t>
      </w:r>
    </w:p>
    <w:p>
      <w:r>
        <w:t>The project folder contains filtered versions of three visualizations: PCA_plot_filtered.png, volcano_plot_filtered.png, and heatmap_top30_genes_filtered.png. Include them in the portfolio with captions describing what each plot displays and avoid claims not directly supported by the plots.</w:t>
      </w:r>
    </w:p>
    <w:p>
      <w:r>
        <w:t>PCA helps inspect broad sample-level expression patterns; the volcano plot summarizes estimated fold changes and statistical significance; and the heatmap displays expression patterns for selected top genes across samples.</w:t>
      </w:r>
    </w:p>
    <w:p>
      <w:pPr>
        <w:pStyle w:val="Heading1"/>
      </w:pPr>
      <w:r>
        <w:t>7. Limitations and interpretation cautions</w:t>
      </w:r>
    </w:p>
    <w:p>
      <w:pPr>
        <w:pStyle w:val="ListBullet"/>
      </w:pPr>
      <w:r>
        <w:t>This is an analysis of an existing public dataset, so conclusions depend on the original study design, sample quality, and metadata accuracy.</w:t>
      </w:r>
    </w:p>
    <w:p>
      <w:pPr>
        <w:pStyle w:val="ListBullet"/>
      </w:pPr>
      <w:r>
        <w:t>Bulk tissue combines signals from tumour, normal, stromal, and immune cells.</w:t>
      </w:r>
    </w:p>
    <w:p>
      <w:pPr>
        <w:pStyle w:val="ListBullet"/>
      </w:pPr>
      <w:r>
        <w:t>A high number of genes passing the FDR threshold should be interpreted alongside effect sizes, sample-level plots, and study context; statistical significance does not necessarily imply a large or clinically meaningful effect.</w:t>
      </w:r>
    </w:p>
    <w:p>
      <w:pPr>
        <w:pStyle w:val="ListBullet"/>
      </w:pPr>
      <w:r>
        <w:t>GO over-representation depends on the gene universe, annotation coverage, and significant-gene definition. It describes enrichment, not proof of pathway activation.</w:t>
      </w:r>
    </w:p>
    <w:p>
      <w:pPr>
        <w:pStyle w:val="ListBullet"/>
      </w:pPr>
      <w:r>
        <w:t>Before public release, confirm that the annotated results and plot files came from the same filtered analysis and that the final results CSV matches the summary statistics.</w:t>
      </w:r>
    </w:p>
    <w:p>
      <w:pPr>
        <w:pStyle w:val="Heading1"/>
      </w:pPr>
      <w:r>
        <w:t>8. Conclusion</w:t>
      </w:r>
    </w:p>
    <w:p>
      <w:r>
        <w:t>This project demonstrates an end-to-end bulk RNA-seq differential-expression workflow using R/DESeq2 and Python-based data handling, annotation, and enrichment analysis. The analysis identifies tumour-associated expression differences and highlights immune-related GO biological processes for further investigation. Findings are exploratory and should be interpreted in the context of bulk-tissue composition and the limitations described above.</w:t>
      </w:r>
    </w:p>
    <w:p>
      <w:pPr>
        <w:pStyle w:val="Heading1"/>
      </w:pPr>
      <w:r>
        <w:t>9. Tools and key outputs</w:t>
      </w:r>
    </w:p>
    <w:p>
      <w:r>
        <w:t>Tools: R, DESeq2, glmGamPoi, Python, pandas, SciPy, statsmodels, and Matplotlib (for visualizations where applicable).</w:t>
      </w:r>
    </w:p>
    <w:p>
      <w:r>
        <w:t>Key outputs: differential_expression_results_filtered.csv; differential_expression_results_annotated.csv; GO_biological_process_enrichment_corrected.csv; significant_GO_terms.csv; PCA_plot_filtered.png; volcano_plot_filtered.png; heatmap_top30_genes_filtered.png.</w:t>
      </w:r>
    </w:p>
    <w:p>
      <w:pPr>
        <w:pStyle w:val="Heading1"/>
      </w:pPr>
      <w:r>
        <w:t>10. Resume-ready project description</w:t>
      </w:r>
    </w:p>
    <w:p>
      <w:r>
        <w:t>Lung RNA-seq Differential Expression Analysis | R, DESeq2, Python, pandas, SciPy</w:t>
        <w:br/>
        <w:t>Analyzed public lung RNA-seq dataset GSE229705 comprising 122 matched tumour–adjacent-normal patient pairs. Applied low-expression filtering and patient-paired DESeq2 modelling, annotated gene-level results, generated PCA, volcano and heatmap visualizations, and performed GO Biological Process over-representation analysis with FDR correction.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GSE229705 Lung RNA-seq Project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